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FBF1" w14:textId="77777777" w:rsidR="00071BED" w:rsidRDefault="00071BED">
      <w:pPr>
        <w:pStyle w:val="Default"/>
      </w:pPr>
    </w:p>
    <w:p w14:paraId="241526FE" w14:textId="77777777" w:rsidR="00071BED" w:rsidRDefault="00071BED">
      <w:pPr>
        <w:pStyle w:val="Default"/>
        <w:rPr>
          <w:sz w:val="22"/>
          <w:szCs w:val="22"/>
        </w:rPr>
      </w:pPr>
      <w:r>
        <w:t xml:space="preserve"> </w:t>
      </w:r>
      <w:r>
        <w:rPr>
          <w:sz w:val="22"/>
          <w:szCs w:val="22"/>
        </w:rPr>
        <w:t xml:space="preserve"> </w:t>
      </w:r>
    </w:p>
    <w:p w14:paraId="5A859AF7" w14:textId="77777777" w:rsidR="00071BED" w:rsidRDefault="00071BED">
      <w:pPr>
        <w:pStyle w:val="Default"/>
        <w:rPr>
          <w:rFonts w:ascii="Arial" w:hAnsi="Arial" w:cs="Arial"/>
          <w:sz w:val="36"/>
          <w:szCs w:val="36"/>
        </w:rPr>
      </w:pPr>
      <w:r>
        <w:rPr>
          <w:rFonts w:ascii="Arial" w:hAnsi="Arial" w:cs="Arial"/>
          <w:sz w:val="36"/>
          <w:szCs w:val="36"/>
        </w:rPr>
        <w:t xml:space="preserve"> </w:t>
      </w:r>
    </w:p>
    <w:p w14:paraId="5296D484" w14:textId="77777777" w:rsidR="00071BED" w:rsidRDefault="00071BED">
      <w:pPr>
        <w:pStyle w:val="Default"/>
        <w:rPr>
          <w:rFonts w:ascii="Arial" w:hAnsi="Arial" w:cs="Arial"/>
          <w:sz w:val="36"/>
          <w:szCs w:val="36"/>
        </w:rPr>
      </w:pPr>
      <w:r>
        <w:rPr>
          <w:rFonts w:ascii="Arial" w:hAnsi="Arial" w:cs="Arial"/>
          <w:sz w:val="36"/>
          <w:szCs w:val="36"/>
        </w:rPr>
        <w:t xml:space="preserve"> </w:t>
      </w:r>
    </w:p>
    <w:p w14:paraId="7F639D2C" w14:textId="77777777" w:rsidR="00D62A2E" w:rsidRDefault="00D62A2E">
      <w:pPr>
        <w:pStyle w:val="Default"/>
        <w:rPr>
          <w:rFonts w:ascii="Arial" w:hAnsi="Arial" w:cs="Arial"/>
          <w:sz w:val="36"/>
          <w:szCs w:val="36"/>
        </w:rPr>
      </w:pPr>
    </w:p>
    <w:p w14:paraId="2B919D4B" w14:textId="77777777" w:rsidR="00D62A2E" w:rsidRDefault="00D62A2E">
      <w:pPr>
        <w:pStyle w:val="Default"/>
        <w:rPr>
          <w:rFonts w:ascii="Arial" w:hAnsi="Arial" w:cs="Arial"/>
          <w:sz w:val="36"/>
          <w:szCs w:val="36"/>
        </w:rPr>
      </w:pPr>
    </w:p>
    <w:p w14:paraId="0C4C06EA" w14:textId="77777777" w:rsidR="00D62A2E" w:rsidRDefault="00D62A2E">
      <w:pPr>
        <w:pStyle w:val="Default"/>
        <w:rPr>
          <w:rFonts w:ascii="Arial" w:hAnsi="Arial" w:cs="Arial"/>
          <w:sz w:val="36"/>
          <w:szCs w:val="36"/>
        </w:rPr>
      </w:pPr>
    </w:p>
    <w:p w14:paraId="5BB1E91E" w14:textId="77777777" w:rsidR="00D62A2E" w:rsidRDefault="00D62A2E">
      <w:pPr>
        <w:pStyle w:val="Default"/>
        <w:rPr>
          <w:rFonts w:ascii="Arial" w:hAnsi="Arial" w:cs="Arial"/>
          <w:sz w:val="36"/>
          <w:szCs w:val="36"/>
        </w:rPr>
      </w:pPr>
    </w:p>
    <w:p w14:paraId="534900E2" w14:textId="77777777" w:rsidR="00071BED" w:rsidRDefault="00071BED">
      <w:pPr>
        <w:pStyle w:val="Default"/>
        <w:rPr>
          <w:rFonts w:ascii="Arial" w:hAnsi="Arial" w:cs="Arial"/>
          <w:sz w:val="36"/>
          <w:szCs w:val="36"/>
        </w:rPr>
      </w:pPr>
      <w:r>
        <w:rPr>
          <w:rFonts w:ascii="Arial" w:hAnsi="Arial" w:cs="Arial"/>
          <w:sz w:val="36"/>
          <w:szCs w:val="36"/>
        </w:rPr>
        <w:t xml:space="preserve"> </w:t>
      </w:r>
    </w:p>
    <w:p w14:paraId="32B3C7E7" w14:textId="77777777" w:rsidR="00071BED" w:rsidRPr="00D62A2E" w:rsidRDefault="00F346D9" w:rsidP="00F346D9">
      <w:pPr>
        <w:pStyle w:val="Default"/>
        <w:jc w:val="center"/>
        <w:rPr>
          <w:rFonts w:ascii="Times New Roman" w:hAnsi="Times New Roman" w:cs="Times New Roman"/>
          <w:b/>
          <w:sz w:val="36"/>
          <w:szCs w:val="36"/>
        </w:rPr>
      </w:pPr>
      <w:r w:rsidRPr="00D62A2E">
        <w:rPr>
          <w:rFonts w:ascii="Times New Roman" w:hAnsi="Times New Roman" w:cs="Times New Roman"/>
          <w:b/>
          <w:sz w:val="36"/>
          <w:szCs w:val="36"/>
        </w:rPr>
        <w:t>NY Community Broadband Partnership</w:t>
      </w:r>
      <w:r w:rsidR="00D62A2E" w:rsidRPr="00D62A2E">
        <w:rPr>
          <w:rFonts w:ascii="Times New Roman" w:hAnsi="Times New Roman" w:cs="Times New Roman"/>
          <w:b/>
          <w:sz w:val="36"/>
          <w:szCs w:val="36"/>
        </w:rPr>
        <w:t xml:space="preserve"> (NYCBP)</w:t>
      </w:r>
    </w:p>
    <w:p w14:paraId="3608AEAD" w14:textId="77777777" w:rsidR="00071BED" w:rsidRPr="00D62A2E" w:rsidRDefault="00071BED" w:rsidP="00F346D9">
      <w:pPr>
        <w:pStyle w:val="Default"/>
        <w:jc w:val="center"/>
        <w:rPr>
          <w:rFonts w:ascii="Times New Roman" w:hAnsi="Times New Roman" w:cs="Times New Roman"/>
          <w:b/>
          <w:sz w:val="36"/>
          <w:szCs w:val="36"/>
        </w:rPr>
      </w:pPr>
    </w:p>
    <w:p w14:paraId="062200D0" w14:textId="77777777" w:rsidR="00071BED" w:rsidRPr="00D62A2E" w:rsidRDefault="00071BED" w:rsidP="00F346D9">
      <w:pPr>
        <w:pStyle w:val="Default"/>
        <w:jc w:val="center"/>
        <w:rPr>
          <w:rFonts w:ascii="Times New Roman" w:hAnsi="Times New Roman" w:cs="Times New Roman"/>
          <w:b/>
          <w:sz w:val="22"/>
          <w:szCs w:val="22"/>
        </w:rPr>
      </w:pPr>
      <w:r w:rsidRPr="00D62A2E">
        <w:rPr>
          <w:rFonts w:ascii="Times New Roman" w:hAnsi="Times New Roman" w:cs="Times New Roman"/>
          <w:b/>
          <w:sz w:val="36"/>
          <w:szCs w:val="36"/>
        </w:rPr>
        <w:t>Network Plan</w:t>
      </w:r>
    </w:p>
    <w:p w14:paraId="6185D67F" w14:textId="77777777" w:rsidR="00071BED" w:rsidRPr="009F013E" w:rsidRDefault="00071BED" w:rsidP="002D3485">
      <w:pPr>
        <w:pStyle w:val="Default"/>
        <w:pageBreakBefore/>
        <w:numPr>
          <w:ilvl w:val="0"/>
          <w:numId w:val="1"/>
        </w:numPr>
        <w:ind w:left="450" w:hanging="450"/>
        <w:rPr>
          <w:rFonts w:ascii="Times New Roman" w:eastAsia="Times New Roman" w:hAnsi="Times New Roman" w:cs="Times New Roman"/>
          <w:b/>
        </w:rPr>
      </w:pPr>
      <w:r w:rsidRPr="009F013E">
        <w:rPr>
          <w:rFonts w:ascii="Times New Roman" w:eastAsia="Times New Roman" w:hAnsi="Times New Roman" w:cs="Times New Roman"/>
          <w:b/>
        </w:rPr>
        <w:lastRenderedPageBreak/>
        <w:t xml:space="preserve">Goals/Objectives: </w:t>
      </w:r>
    </w:p>
    <w:p w14:paraId="6682A30C" w14:textId="77777777" w:rsidR="00F346D9" w:rsidRPr="009F013E" w:rsidRDefault="00F346D9">
      <w:pPr>
        <w:pStyle w:val="Default"/>
        <w:rPr>
          <w:rFonts w:ascii="Times New Roman" w:hAnsi="Times New Roman" w:cs="Times New Roman"/>
        </w:rPr>
      </w:pPr>
    </w:p>
    <w:p w14:paraId="3CB5E631" w14:textId="635D9742" w:rsidR="002952C4" w:rsidRPr="009F013E" w:rsidRDefault="00EA384E" w:rsidP="001F0505">
      <w:pPr>
        <w:pStyle w:val="CM14"/>
        <w:ind w:right="459"/>
        <w:rPr>
          <w:rFonts w:ascii="Times New Roman" w:hAnsi="Times New Roman" w:cs="Times New Roman"/>
          <w:color w:val="000000"/>
        </w:rPr>
      </w:pPr>
      <w:r w:rsidRPr="009F013E">
        <w:rPr>
          <w:rFonts w:ascii="Times New Roman" w:hAnsi="Times New Roman" w:cs="Times New Roman"/>
          <w:color w:val="000000"/>
        </w:rPr>
        <w:t>The NYCBP is a currently a consortium of</w:t>
      </w:r>
      <w:r w:rsidR="00045F55">
        <w:rPr>
          <w:rFonts w:ascii="Times New Roman" w:hAnsi="Times New Roman" w:cs="Times New Roman"/>
          <w:color w:val="000000"/>
        </w:rPr>
        <w:t xml:space="preserve"> 5</w:t>
      </w:r>
      <w:r w:rsidRPr="009F013E">
        <w:rPr>
          <w:rFonts w:ascii="Times New Roman" w:hAnsi="Times New Roman" w:cs="Times New Roman"/>
          <w:color w:val="000000"/>
        </w:rPr>
        <w:t xml:space="preserve"> Federally Qualified Health Centers including Finger Lakes Migrant Health Care Project, Inc. (lead agency)</w:t>
      </w:r>
      <w:r w:rsidR="0008743B">
        <w:rPr>
          <w:rFonts w:ascii="Times New Roman" w:hAnsi="Times New Roman" w:cs="Times New Roman"/>
          <w:color w:val="000000"/>
        </w:rPr>
        <w:t>,</w:t>
      </w:r>
      <w:r w:rsidRPr="009F013E">
        <w:rPr>
          <w:rFonts w:ascii="Times New Roman" w:hAnsi="Times New Roman" w:cs="Times New Roman"/>
          <w:color w:val="000000"/>
        </w:rPr>
        <w:t xml:space="preserve"> </w:t>
      </w:r>
      <w:r w:rsidR="002952C4" w:rsidRPr="009F013E">
        <w:rPr>
          <w:rFonts w:ascii="Times New Roman" w:hAnsi="Times New Roman" w:cs="Times New Roman"/>
          <w:color w:val="000000"/>
        </w:rPr>
        <w:t>ConnextCare (formerly NOCHSI)</w:t>
      </w:r>
      <w:r w:rsidRPr="009F013E">
        <w:rPr>
          <w:rFonts w:ascii="Times New Roman" w:hAnsi="Times New Roman" w:cs="Times New Roman"/>
          <w:color w:val="000000"/>
        </w:rPr>
        <w:t xml:space="preserve"> (member agency</w:t>
      </w:r>
      <w:r w:rsidR="002952C4" w:rsidRPr="009F013E">
        <w:rPr>
          <w:rFonts w:ascii="Times New Roman" w:hAnsi="Times New Roman" w:cs="Times New Roman"/>
          <w:color w:val="000000"/>
        </w:rPr>
        <w:t>)</w:t>
      </w:r>
      <w:r w:rsidR="0024259F">
        <w:rPr>
          <w:rFonts w:ascii="Times New Roman" w:hAnsi="Times New Roman" w:cs="Times New Roman"/>
          <w:color w:val="000000"/>
        </w:rPr>
        <w:t>,</w:t>
      </w:r>
      <w:r w:rsidR="0008743B">
        <w:rPr>
          <w:rFonts w:ascii="Times New Roman" w:hAnsi="Times New Roman" w:cs="Times New Roman"/>
          <w:color w:val="000000"/>
        </w:rPr>
        <w:t xml:space="preserve"> </w:t>
      </w:r>
      <w:r w:rsidR="001F0505" w:rsidRPr="008577B5">
        <w:rPr>
          <w:rFonts w:ascii="Times New Roman" w:hAnsi="Times New Roman"/>
        </w:rPr>
        <w:t xml:space="preserve">Southern Tier Community Health Center Network, Inc. (dba Universal </w:t>
      </w:r>
      <w:r w:rsidR="001F0505">
        <w:rPr>
          <w:rFonts w:ascii="Times New Roman" w:hAnsi="Times New Roman"/>
        </w:rPr>
        <w:t>Primary Care [UPC])(member agency)</w:t>
      </w:r>
      <w:r w:rsidR="00045F55">
        <w:rPr>
          <w:rFonts w:ascii="Times New Roman" w:hAnsi="Times New Roman"/>
        </w:rPr>
        <w:t>,</w:t>
      </w:r>
      <w:r w:rsidR="002952C4" w:rsidRPr="009F013E">
        <w:rPr>
          <w:rFonts w:ascii="Times New Roman" w:hAnsi="Times New Roman" w:cs="Times New Roman"/>
          <w:color w:val="000000"/>
        </w:rPr>
        <w:t xml:space="preserve"> </w:t>
      </w:r>
      <w:r w:rsidR="0024259F">
        <w:rPr>
          <w:rFonts w:ascii="Times New Roman" w:hAnsi="Times New Roman" w:cs="Times New Roman"/>
          <w:color w:val="000000"/>
        </w:rPr>
        <w:t>Family Health Network (FHN)</w:t>
      </w:r>
      <w:r w:rsidR="00045F55">
        <w:rPr>
          <w:rFonts w:ascii="Times New Roman" w:hAnsi="Times New Roman" w:cs="Times New Roman"/>
          <w:color w:val="000000"/>
        </w:rPr>
        <w:t>, and Mosaic Health (member agency)</w:t>
      </w:r>
      <w:r w:rsidR="0024259F">
        <w:rPr>
          <w:rFonts w:ascii="Times New Roman" w:hAnsi="Times New Roman" w:cs="Times New Roman"/>
          <w:color w:val="000000"/>
        </w:rPr>
        <w:t xml:space="preserve"> </w:t>
      </w:r>
      <w:r w:rsidR="002952C4" w:rsidRPr="009F013E">
        <w:rPr>
          <w:rFonts w:ascii="Times New Roman" w:hAnsi="Times New Roman" w:cs="Times New Roman"/>
          <w:color w:val="000000"/>
        </w:rPr>
        <w:t>as well as 2</w:t>
      </w:r>
      <w:r w:rsidR="00020B18" w:rsidRPr="009F013E">
        <w:rPr>
          <w:rFonts w:ascii="Times New Roman" w:hAnsi="Times New Roman" w:cs="Times New Roman"/>
          <w:color w:val="000000"/>
        </w:rPr>
        <w:t xml:space="preserve"> Mental Health provider</w:t>
      </w:r>
      <w:r w:rsidR="002952C4" w:rsidRPr="009F013E">
        <w:rPr>
          <w:rFonts w:ascii="Times New Roman" w:hAnsi="Times New Roman" w:cs="Times New Roman"/>
          <w:color w:val="000000"/>
        </w:rPr>
        <w:t>s</w:t>
      </w:r>
      <w:r w:rsidR="00020B18" w:rsidRPr="009F013E">
        <w:rPr>
          <w:rFonts w:ascii="Times New Roman" w:hAnsi="Times New Roman" w:cs="Times New Roman"/>
          <w:color w:val="000000"/>
        </w:rPr>
        <w:t xml:space="preserve"> in Finger Lakes Area Counseling &amp; Recovery Agency (FLACRA) (member agency)</w:t>
      </w:r>
      <w:r w:rsidR="002952C4" w:rsidRPr="009F013E">
        <w:rPr>
          <w:rFonts w:ascii="Times New Roman" w:hAnsi="Times New Roman" w:cs="Times New Roman"/>
          <w:color w:val="000000"/>
        </w:rPr>
        <w:t xml:space="preserve"> and CASA-Trinity, Inc</w:t>
      </w:r>
      <w:r w:rsidRPr="009F013E">
        <w:rPr>
          <w:rFonts w:ascii="Times New Roman" w:hAnsi="Times New Roman" w:cs="Times New Roman"/>
          <w:color w:val="000000"/>
        </w:rPr>
        <w:t>.</w:t>
      </w:r>
      <w:r w:rsidR="00D92E0E" w:rsidRPr="009F013E">
        <w:rPr>
          <w:rFonts w:ascii="Times New Roman" w:hAnsi="Times New Roman" w:cs="Times New Roman"/>
          <w:color w:val="000000"/>
        </w:rPr>
        <w:t xml:space="preserve"> (member agency).</w:t>
      </w:r>
      <w:r w:rsidRPr="009F013E">
        <w:rPr>
          <w:rFonts w:ascii="Times New Roman" w:hAnsi="Times New Roman" w:cs="Times New Roman"/>
          <w:color w:val="000000"/>
        </w:rPr>
        <w:t xml:space="preserve"> </w:t>
      </w:r>
      <w:r w:rsidR="00D92E0E" w:rsidRPr="009F013E">
        <w:rPr>
          <w:rFonts w:ascii="Times New Roman" w:hAnsi="Times New Roman" w:cs="Times New Roman"/>
          <w:color w:val="000000"/>
        </w:rPr>
        <w:t xml:space="preserve"> </w:t>
      </w:r>
      <w:r w:rsidR="00714F9D">
        <w:rPr>
          <w:rFonts w:ascii="Times New Roman" w:hAnsi="Times New Roman" w:cs="Times New Roman"/>
          <w:color w:val="000000"/>
        </w:rPr>
        <w:t>There are 7 clinics and</w:t>
      </w:r>
      <w:r w:rsidRPr="009F013E">
        <w:rPr>
          <w:rFonts w:ascii="Times New Roman" w:hAnsi="Times New Roman" w:cs="Times New Roman"/>
          <w:color w:val="000000"/>
        </w:rPr>
        <w:t xml:space="preserve"> 1 off-site administrative office in the FCC Healthcare Connect Fund (HCF) Program representing the</w:t>
      </w:r>
      <w:r w:rsidR="0024259F">
        <w:rPr>
          <w:rFonts w:ascii="Times New Roman" w:hAnsi="Times New Roman" w:cs="Times New Roman"/>
          <w:color w:val="000000"/>
        </w:rPr>
        <w:t xml:space="preserve"> FLMHCP facilities.  There are 7</w:t>
      </w:r>
      <w:r w:rsidRPr="009F013E">
        <w:rPr>
          <w:rFonts w:ascii="Times New Roman" w:hAnsi="Times New Roman" w:cs="Times New Roman"/>
          <w:color w:val="000000"/>
        </w:rPr>
        <w:t xml:space="preserve"> Health Center sites in the FCC Healthcare Connect Fund (HCF) Program representing the </w:t>
      </w:r>
      <w:r w:rsidR="002952C4" w:rsidRPr="009F013E">
        <w:rPr>
          <w:rFonts w:ascii="Times New Roman" w:hAnsi="Times New Roman" w:cs="Times New Roman"/>
          <w:color w:val="000000"/>
        </w:rPr>
        <w:t>ConnextCare</w:t>
      </w:r>
      <w:r w:rsidRPr="009F013E">
        <w:rPr>
          <w:rFonts w:ascii="Times New Roman" w:hAnsi="Times New Roman" w:cs="Times New Roman"/>
          <w:color w:val="000000"/>
        </w:rPr>
        <w:t xml:space="preserve"> (</w:t>
      </w:r>
      <w:r w:rsidR="002952C4" w:rsidRPr="009F013E">
        <w:rPr>
          <w:rFonts w:ascii="Times New Roman" w:hAnsi="Times New Roman" w:cs="Times New Roman"/>
          <w:color w:val="000000"/>
        </w:rPr>
        <w:t xml:space="preserve">formerly </w:t>
      </w:r>
      <w:r w:rsidRPr="009F013E">
        <w:rPr>
          <w:rFonts w:ascii="Times New Roman" w:hAnsi="Times New Roman" w:cs="Times New Roman"/>
          <w:color w:val="000000"/>
        </w:rPr>
        <w:t xml:space="preserve">NOCHSI) facilities.  </w:t>
      </w:r>
      <w:r w:rsidR="00020B18" w:rsidRPr="009F013E">
        <w:rPr>
          <w:rFonts w:ascii="Times New Roman" w:hAnsi="Times New Roman" w:cs="Times New Roman"/>
          <w:color w:val="000000"/>
        </w:rPr>
        <w:t>There are 7 Community Mental Health Center sites in the FCC Healthcare Connect Fund (HCF) Program representing Finger Lakes Area Counseling &amp; Recovery Agency (FLACRA)</w:t>
      </w:r>
      <w:r w:rsidR="002952C4" w:rsidRPr="009F013E">
        <w:rPr>
          <w:rFonts w:ascii="Times New Roman" w:hAnsi="Times New Roman" w:cs="Times New Roman"/>
          <w:color w:val="000000"/>
        </w:rPr>
        <w:t xml:space="preserve"> facilities</w:t>
      </w:r>
      <w:r w:rsidR="00020B18" w:rsidRPr="009F013E">
        <w:rPr>
          <w:rFonts w:ascii="Times New Roman" w:hAnsi="Times New Roman" w:cs="Times New Roman"/>
          <w:color w:val="000000"/>
        </w:rPr>
        <w:t xml:space="preserve">.  </w:t>
      </w:r>
      <w:r w:rsidR="0024259F">
        <w:rPr>
          <w:rFonts w:ascii="Times New Roman" w:hAnsi="Times New Roman" w:cs="Times New Roman"/>
          <w:color w:val="000000"/>
        </w:rPr>
        <w:t>There are 4</w:t>
      </w:r>
      <w:r w:rsidR="002952C4" w:rsidRPr="009F013E">
        <w:rPr>
          <w:rFonts w:ascii="Times New Roman" w:hAnsi="Times New Roman" w:cs="Times New Roman"/>
          <w:color w:val="000000"/>
        </w:rPr>
        <w:t xml:space="preserve"> Community Mental Health Center sites in the FCC Healthcare Connect Fund (HCF) Program representing CASA-Trinity, Inc. facilities. </w:t>
      </w:r>
      <w:r w:rsidR="001F0505">
        <w:rPr>
          <w:rFonts w:ascii="Times New Roman" w:hAnsi="Times New Roman" w:cs="Times New Roman"/>
          <w:color w:val="000000"/>
        </w:rPr>
        <w:t xml:space="preserve"> There are 5</w:t>
      </w:r>
      <w:r w:rsidR="001F0505" w:rsidRPr="009F013E">
        <w:rPr>
          <w:rFonts w:ascii="Times New Roman" w:hAnsi="Times New Roman" w:cs="Times New Roman"/>
          <w:color w:val="000000"/>
        </w:rPr>
        <w:t xml:space="preserve"> Health Center sites in the FCC Healthcare Connect Fund (HCF) Program representing</w:t>
      </w:r>
      <w:r w:rsidR="001F0505">
        <w:rPr>
          <w:rFonts w:ascii="Times New Roman" w:hAnsi="Times New Roman" w:cs="Times New Roman"/>
          <w:color w:val="000000"/>
        </w:rPr>
        <w:t xml:space="preserve"> </w:t>
      </w:r>
      <w:r w:rsidR="001F0505" w:rsidRPr="008577B5">
        <w:rPr>
          <w:rFonts w:ascii="Times New Roman" w:hAnsi="Times New Roman"/>
        </w:rPr>
        <w:t xml:space="preserve">Southern Tier Community Health Center Network, Inc. (dba Universal </w:t>
      </w:r>
      <w:r w:rsidR="001F0505">
        <w:rPr>
          <w:rFonts w:ascii="Times New Roman" w:hAnsi="Times New Roman"/>
        </w:rPr>
        <w:t>Primary Care [UPC]).</w:t>
      </w:r>
      <w:r w:rsidR="0024259F">
        <w:rPr>
          <w:rFonts w:ascii="Times New Roman" w:hAnsi="Times New Roman"/>
        </w:rPr>
        <w:t xml:space="preserve">  There are 5 clinics and 1 off-site administrative office in the FCC Healthcare Connect Fund (HCF) Program representing Family Health Network (FHN). </w:t>
      </w:r>
      <w:r w:rsidR="00045F55">
        <w:rPr>
          <w:rFonts w:ascii="Times New Roman" w:hAnsi="Times New Roman"/>
        </w:rPr>
        <w:t xml:space="preserve"> There are </w:t>
      </w:r>
      <w:r w:rsidR="00897930">
        <w:rPr>
          <w:rFonts w:ascii="Times New Roman" w:hAnsi="Times New Roman"/>
        </w:rPr>
        <w:t>5</w:t>
      </w:r>
      <w:r w:rsidR="00045F55">
        <w:rPr>
          <w:rFonts w:ascii="Times New Roman" w:hAnsi="Times New Roman"/>
        </w:rPr>
        <w:t xml:space="preserve"> clinics in the FCC Healthcare Connect Fund (HCF) Program representing Mosaic Health.  </w:t>
      </w:r>
    </w:p>
    <w:p w14:paraId="294CAFAF" w14:textId="77777777" w:rsidR="002952C4" w:rsidRPr="009F013E" w:rsidRDefault="002952C4" w:rsidP="00F346D9">
      <w:pPr>
        <w:pStyle w:val="CM14"/>
        <w:ind w:right="459"/>
        <w:rPr>
          <w:rFonts w:ascii="Times New Roman" w:hAnsi="Times New Roman" w:cs="Times New Roman"/>
          <w:color w:val="000000"/>
        </w:rPr>
      </w:pPr>
    </w:p>
    <w:p w14:paraId="7DFC83CB" w14:textId="77777777" w:rsidR="00F346D9" w:rsidRPr="009F013E" w:rsidRDefault="00F346D9" w:rsidP="00F346D9">
      <w:pPr>
        <w:pStyle w:val="CM14"/>
        <w:ind w:right="459"/>
        <w:rPr>
          <w:rFonts w:ascii="Times New Roman" w:hAnsi="Times New Roman" w:cs="Times New Roman"/>
          <w:color w:val="000000"/>
        </w:rPr>
      </w:pPr>
      <w:r w:rsidRPr="009F013E">
        <w:rPr>
          <w:rFonts w:ascii="Times New Roman" w:hAnsi="Times New Roman" w:cs="Times New Roman"/>
          <w:color w:val="000000"/>
        </w:rPr>
        <w:t xml:space="preserve">It is the vision of NYCBP to enable a set of standard broadband connection services throughout our facilities (including future members of NYCBP) that will facilitate any healthcare location in NYCBP to have health information services with any other healthcare location within our consortium and ultimately, to interconnect with other health care providers regionally and nationally, facilitated over </w:t>
      </w:r>
      <w:r w:rsidR="00260939" w:rsidRPr="009F013E">
        <w:rPr>
          <w:rFonts w:ascii="Times New Roman" w:hAnsi="Times New Roman" w:cs="Times New Roman"/>
          <w:color w:val="000000"/>
        </w:rPr>
        <w:t xml:space="preserve">a </w:t>
      </w:r>
      <w:r w:rsidRPr="009F013E">
        <w:rPr>
          <w:rFonts w:ascii="Times New Roman" w:hAnsi="Times New Roman" w:cs="Times New Roman"/>
          <w:color w:val="000000"/>
        </w:rPr>
        <w:t xml:space="preserve">robust and reliable broadband network. </w:t>
      </w:r>
    </w:p>
    <w:p w14:paraId="5B58FDED" w14:textId="77777777" w:rsidR="00F346D9" w:rsidRPr="009F013E" w:rsidRDefault="00F346D9" w:rsidP="00F346D9">
      <w:pPr>
        <w:pStyle w:val="CM14"/>
        <w:ind w:right="459"/>
        <w:rPr>
          <w:rFonts w:ascii="Times New Roman" w:hAnsi="Times New Roman" w:cs="Times New Roman"/>
          <w:bCs/>
          <w:color w:val="000000"/>
        </w:rPr>
      </w:pPr>
    </w:p>
    <w:p w14:paraId="00125E9E" w14:textId="77777777" w:rsidR="00F346D9" w:rsidRPr="009F013E" w:rsidRDefault="00F346D9" w:rsidP="00F346D9">
      <w:pPr>
        <w:pStyle w:val="CM14"/>
        <w:ind w:right="459"/>
        <w:rPr>
          <w:rFonts w:ascii="Times New Roman" w:hAnsi="Times New Roman" w:cs="Times New Roman"/>
          <w:color w:val="000000"/>
        </w:rPr>
      </w:pPr>
      <w:r w:rsidRPr="009F013E">
        <w:rPr>
          <w:rFonts w:ascii="Times New Roman" w:hAnsi="Times New Roman" w:cs="Times New Roman"/>
          <w:color w:val="000000"/>
        </w:rPr>
        <w:t xml:space="preserve">The connectivity provided through the enhanced broadband infrastructure will continue to build member capacity to health information services and telemedicine services including upgrades to service as necessary. </w:t>
      </w:r>
      <w:r w:rsidR="00260939" w:rsidRPr="009F013E">
        <w:rPr>
          <w:rFonts w:ascii="Times New Roman" w:hAnsi="Times New Roman" w:cs="Times New Roman"/>
          <w:color w:val="000000"/>
        </w:rPr>
        <w:t xml:space="preserve"> </w:t>
      </w:r>
      <w:r w:rsidRPr="009F013E">
        <w:rPr>
          <w:rFonts w:ascii="Times New Roman" w:hAnsi="Times New Roman" w:cs="Times New Roman"/>
          <w:color w:val="000000"/>
        </w:rPr>
        <w:t xml:space="preserve">NYCBP is requesting services for its members that currently do not have adequate telecommunication capacity to handle facility demands. </w:t>
      </w:r>
    </w:p>
    <w:p w14:paraId="5BC48DFE" w14:textId="77777777" w:rsidR="00F346D9" w:rsidRPr="009F013E" w:rsidRDefault="00F346D9">
      <w:pPr>
        <w:pStyle w:val="Default"/>
        <w:rPr>
          <w:rFonts w:ascii="Times New Roman" w:hAnsi="Times New Roman" w:cs="Times New Roman"/>
          <w:b/>
          <w:bCs/>
        </w:rPr>
      </w:pPr>
    </w:p>
    <w:p w14:paraId="1E8824C4" w14:textId="77777777" w:rsidR="00071BED" w:rsidRPr="009F013E" w:rsidRDefault="002D3485" w:rsidP="002D3485">
      <w:pPr>
        <w:pStyle w:val="Default"/>
        <w:numPr>
          <w:ilvl w:val="0"/>
          <w:numId w:val="1"/>
        </w:numPr>
        <w:ind w:left="450" w:hanging="450"/>
        <w:rPr>
          <w:rFonts w:ascii="Times New Roman" w:eastAsia="Times New Roman" w:hAnsi="Times New Roman" w:cs="Times New Roman"/>
          <w:b/>
        </w:rPr>
      </w:pPr>
      <w:r w:rsidRPr="009F013E">
        <w:rPr>
          <w:rFonts w:ascii="Times New Roman" w:hAnsi="Times New Roman" w:cs="Times New Roman"/>
          <w:b/>
          <w:bCs/>
        </w:rPr>
        <w:t>Strategy for aggregating the specific needs of HCPs (including providers that serve rural areas) within a state or region</w:t>
      </w:r>
      <w:r w:rsidR="00071BED" w:rsidRPr="009F013E">
        <w:rPr>
          <w:rFonts w:ascii="Times New Roman" w:eastAsia="Times New Roman" w:hAnsi="Times New Roman" w:cs="Times New Roman"/>
          <w:b/>
        </w:rPr>
        <w:t xml:space="preserve">: </w:t>
      </w:r>
    </w:p>
    <w:p w14:paraId="67F72BFF" w14:textId="77777777" w:rsidR="00F346D9" w:rsidRPr="009F013E" w:rsidRDefault="00F346D9">
      <w:pPr>
        <w:pStyle w:val="Default"/>
        <w:rPr>
          <w:rFonts w:ascii="Times New Roman" w:eastAsia="Times New Roman" w:hAnsi="Times New Roman" w:cs="Times New Roman"/>
        </w:rPr>
      </w:pPr>
    </w:p>
    <w:p w14:paraId="105FC9B4" w14:textId="77777777" w:rsidR="00F346D9" w:rsidRPr="009F013E" w:rsidRDefault="00071BED">
      <w:pPr>
        <w:pStyle w:val="Default"/>
        <w:rPr>
          <w:rFonts w:ascii="Times New Roman" w:eastAsia="Times New Roman" w:hAnsi="Times New Roman" w:cs="Times New Roman"/>
        </w:rPr>
      </w:pPr>
      <w:r w:rsidRPr="009F013E">
        <w:rPr>
          <w:rFonts w:ascii="Times New Roman" w:eastAsia="Times New Roman" w:hAnsi="Times New Roman" w:cs="Times New Roman"/>
        </w:rPr>
        <w:t xml:space="preserve">The strategy will </w:t>
      </w:r>
      <w:r w:rsidR="002D3485" w:rsidRPr="009F013E">
        <w:rPr>
          <w:rFonts w:ascii="Times New Roman" w:eastAsia="Times New Roman" w:hAnsi="Times New Roman" w:cs="Times New Roman"/>
        </w:rPr>
        <w:t>leverage</w:t>
      </w:r>
      <w:r w:rsidR="00F346D9" w:rsidRPr="009F013E">
        <w:rPr>
          <w:rFonts w:ascii="Times New Roman" w:eastAsia="Times New Roman" w:hAnsi="Times New Roman" w:cs="Times New Roman"/>
        </w:rPr>
        <w:t xml:space="preserve"> the existing </w:t>
      </w:r>
      <w:r w:rsidR="002D3485" w:rsidRPr="009F013E">
        <w:rPr>
          <w:rFonts w:ascii="Times New Roman" w:eastAsia="Times New Roman" w:hAnsi="Times New Roman" w:cs="Times New Roman"/>
        </w:rPr>
        <w:t xml:space="preserve">clinical and administrative </w:t>
      </w:r>
      <w:r w:rsidR="00F346D9" w:rsidRPr="009F013E">
        <w:rPr>
          <w:rFonts w:ascii="Times New Roman" w:eastAsia="Times New Roman" w:hAnsi="Times New Roman" w:cs="Times New Roman"/>
        </w:rPr>
        <w:t>partnership</w:t>
      </w:r>
      <w:r w:rsidR="002D3485" w:rsidRPr="009F013E">
        <w:rPr>
          <w:rFonts w:ascii="Times New Roman" w:eastAsia="Times New Roman" w:hAnsi="Times New Roman" w:cs="Times New Roman"/>
        </w:rPr>
        <w:t>s</w:t>
      </w:r>
      <w:r w:rsidR="00F346D9" w:rsidRPr="009F013E">
        <w:rPr>
          <w:rFonts w:ascii="Times New Roman" w:eastAsia="Times New Roman" w:hAnsi="Times New Roman" w:cs="Times New Roman"/>
        </w:rPr>
        <w:t xml:space="preserve"> that FLMHCP has in rural NY State with hospitals, </w:t>
      </w:r>
      <w:r w:rsidR="009A1B77" w:rsidRPr="009F013E">
        <w:rPr>
          <w:rFonts w:ascii="Times New Roman" w:eastAsia="Times New Roman" w:hAnsi="Times New Roman" w:cs="Times New Roman"/>
        </w:rPr>
        <w:t>community</w:t>
      </w:r>
      <w:r w:rsidR="00F346D9" w:rsidRPr="009F013E">
        <w:rPr>
          <w:rFonts w:ascii="Times New Roman" w:eastAsia="Times New Roman" w:hAnsi="Times New Roman" w:cs="Times New Roman"/>
        </w:rPr>
        <w:t xml:space="preserve"> </w:t>
      </w:r>
      <w:r w:rsidR="009A1B77" w:rsidRPr="009F013E">
        <w:rPr>
          <w:rFonts w:ascii="Times New Roman" w:eastAsia="Times New Roman" w:hAnsi="Times New Roman" w:cs="Times New Roman"/>
        </w:rPr>
        <w:t>h</w:t>
      </w:r>
      <w:r w:rsidR="00F346D9" w:rsidRPr="009F013E">
        <w:rPr>
          <w:rFonts w:ascii="Times New Roman" w:eastAsia="Times New Roman" w:hAnsi="Times New Roman" w:cs="Times New Roman"/>
        </w:rPr>
        <w:t xml:space="preserve">ealth </w:t>
      </w:r>
      <w:r w:rsidR="009A1B77" w:rsidRPr="009F013E">
        <w:rPr>
          <w:rFonts w:ascii="Times New Roman" w:eastAsia="Times New Roman" w:hAnsi="Times New Roman" w:cs="Times New Roman"/>
        </w:rPr>
        <w:t>c</w:t>
      </w:r>
      <w:r w:rsidR="00F346D9" w:rsidRPr="009F013E">
        <w:rPr>
          <w:rFonts w:ascii="Times New Roman" w:eastAsia="Times New Roman" w:hAnsi="Times New Roman" w:cs="Times New Roman"/>
        </w:rPr>
        <w:t>enters,</w:t>
      </w:r>
      <w:r w:rsidR="009A1B77" w:rsidRPr="009F013E">
        <w:rPr>
          <w:rFonts w:ascii="Times New Roman" w:eastAsia="Times New Roman" w:hAnsi="Times New Roman" w:cs="Times New Roman"/>
        </w:rPr>
        <w:t xml:space="preserve"> regional health information organizations and other</w:t>
      </w:r>
      <w:r w:rsidR="00F346D9" w:rsidRPr="009F013E">
        <w:rPr>
          <w:rFonts w:ascii="Times New Roman" w:eastAsia="Times New Roman" w:hAnsi="Times New Roman" w:cs="Times New Roman"/>
        </w:rPr>
        <w:t xml:space="preserve"> </w:t>
      </w:r>
      <w:r w:rsidRPr="009F013E">
        <w:rPr>
          <w:rFonts w:ascii="Times New Roman" w:eastAsia="Times New Roman" w:hAnsi="Times New Roman" w:cs="Times New Roman"/>
        </w:rPr>
        <w:t xml:space="preserve">local non-profit partners to aggregate demand </w:t>
      </w:r>
      <w:r w:rsidR="009A1B77" w:rsidRPr="009F013E">
        <w:rPr>
          <w:rFonts w:ascii="Times New Roman" w:eastAsia="Times New Roman" w:hAnsi="Times New Roman" w:cs="Times New Roman"/>
        </w:rPr>
        <w:t xml:space="preserve">for telehealth and related healthcare technology services over a robust and reliable broadband network. </w:t>
      </w:r>
    </w:p>
    <w:p w14:paraId="45C9BFBA" w14:textId="77777777" w:rsidR="009A1B77" w:rsidRPr="009F013E" w:rsidRDefault="009A1B77">
      <w:pPr>
        <w:pStyle w:val="Default"/>
        <w:rPr>
          <w:rFonts w:ascii="Times New Roman" w:eastAsia="Times New Roman" w:hAnsi="Times New Roman" w:cs="Times New Roman"/>
        </w:rPr>
      </w:pPr>
    </w:p>
    <w:p w14:paraId="67CD2B65" w14:textId="77777777" w:rsidR="009A1B77" w:rsidRPr="009F013E" w:rsidRDefault="009A1B77">
      <w:pPr>
        <w:pStyle w:val="Default"/>
        <w:rPr>
          <w:rFonts w:ascii="Times New Roman" w:eastAsia="Times New Roman" w:hAnsi="Times New Roman" w:cs="Times New Roman"/>
        </w:rPr>
      </w:pPr>
      <w:r w:rsidRPr="009F013E">
        <w:rPr>
          <w:rFonts w:ascii="Times New Roman" w:eastAsia="Times New Roman" w:hAnsi="Times New Roman" w:cs="Times New Roman"/>
        </w:rPr>
        <w:t xml:space="preserve">This approach will further facilitate collaboration and cooperation among the consortium partners in seeking other funding opportunities to develop a </w:t>
      </w:r>
      <w:r w:rsidR="002D3485" w:rsidRPr="009F013E">
        <w:rPr>
          <w:rFonts w:ascii="Times New Roman" w:eastAsia="Times New Roman" w:hAnsi="Times New Roman" w:cs="Times New Roman"/>
        </w:rPr>
        <w:t>statewide</w:t>
      </w:r>
      <w:r w:rsidRPr="009F013E">
        <w:rPr>
          <w:rFonts w:ascii="Times New Roman" w:eastAsia="Times New Roman" w:hAnsi="Times New Roman" w:cs="Times New Roman"/>
        </w:rPr>
        <w:t xml:space="preserve"> telehealth and health information network.</w:t>
      </w:r>
    </w:p>
    <w:p w14:paraId="45069FF4" w14:textId="77777777" w:rsidR="002D3485" w:rsidRPr="009F013E" w:rsidRDefault="002D3485" w:rsidP="002D3485">
      <w:pPr>
        <w:pStyle w:val="Default"/>
        <w:rPr>
          <w:rFonts w:ascii="Times New Roman" w:hAnsi="Times New Roman" w:cs="Times New Roman"/>
          <w:b/>
          <w:bCs/>
        </w:rPr>
      </w:pPr>
    </w:p>
    <w:p w14:paraId="2A331A73" w14:textId="77777777" w:rsidR="002D3485" w:rsidRPr="009F013E" w:rsidRDefault="002D3485" w:rsidP="002D3485">
      <w:pPr>
        <w:pStyle w:val="Default"/>
        <w:numPr>
          <w:ilvl w:val="0"/>
          <w:numId w:val="1"/>
        </w:numPr>
        <w:ind w:left="540" w:hanging="540"/>
        <w:rPr>
          <w:rFonts w:ascii="Times New Roman" w:hAnsi="Times New Roman" w:cs="Times New Roman"/>
        </w:rPr>
      </w:pPr>
      <w:r w:rsidRPr="009F013E">
        <w:rPr>
          <w:rFonts w:ascii="Times New Roman" w:hAnsi="Times New Roman" w:cs="Times New Roman"/>
          <w:b/>
          <w:bCs/>
        </w:rPr>
        <w:t xml:space="preserve">Strategy for leveraging existing technology to adopt the most efficient and cost </w:t>
      </w:r>
      <w:r w:rsidRPr="009F013E">
        <w:rPr>
          <w:rFonts w:ascii="Times New Roman" w:hAnsi="Times New Roman" w:cs="Times New Roman"/>
          <w:b/>
          <w:bCs/>
        </w:rPr>
        <w:lastRenderedPageBreak/>
        <w:t>effective means of connecting those providers</w:t>
      </w:r>
      <w:r w:rsidR="00E24004" w:rsidRPr="009F013E">
        <w:rPr>
          <w:rFonts w:ascii="Times New Roman" w:hAnsi="Times New Roman" w:cs="Times New Roman"/>
          <w:b/>
          <w:bCs/>
        </w:rPr>
        <w:t>:</w:t>
      </w:r>
      <w:r w:rsidRPr="009F013E">
        <w:rPr>
          <w:rFonts w:ascii="Times New Roman" w:hAnsi="Times New Roman" w:cs="Times New Roman"/>
          <w:b/>
          <w:bCs/>
        </w:rPr>
        <w:t xml:space="preserve"> </w:t>
      </w:r>
      <w:r w:rsidRPr="009F013E">
        <w:rPr>
          <w:rFonts w:ascii="Times New Roman" w:hAnsi="Times New Roman" w:cs="Times New Roman"/>
        </w:rPr>
        <w:t xml:space="preserve"> </w:t>
      </w:r>
    </w:p>
    <w:p w14:paraId="058A7A35" w14:textId="77777777" w:rsidR="002D3485" w:rsidRPr="009F013E" w:rsidRDefault="002D3485" w:rsidP="002D3485">
      <w:pPr>
        <w:pStyle w:val="Default"/>
        <w:rPr>
          <w:rFonts w:ascii="Times New Roman" w:hAnsi="Times New Roman" w:cs="Times New Roman"/>
        </w:rPr>
      </w:pPr>
    </w:p>
    <w:p w14:paraId="2C7F0139" w14:textId="77777777" w:rsidR="002D3485" w:rsidRPr="009F013E" w:rsidRDefault="00FD1846" w:rsidP="002D3485">
      <w:pPr>
        <w:pStyle w:val="Default"/>
        <w:rPr>
          <w:rFonts w:ascii="Times New Roman" w:eastAsia="Times New Roman" w:hAnsi="Times New Roman" w:cs="Times New Roman"/>
        </w:rPr>
      </w:pPr>
      <w:r w:rsidRPr="009F013E">
        <w:rPr>
          <w:rFonts w:ascii="Times New Roman" w:eastAsia="Times New Roman" w:hAnsi="Times New Roman" w:cs="Times New Roman"/>
        </w:rPr>
        <w:t>Based on our previous experience as a member in the pilot Rural Health Care Broadband Program, we seek to utilize secure high-speed Internet services offered by existing Internet Services Providers (ISPs) to allow our member organizations to bring affordable and timely access to healthcare in rural communities.</w:t>
      </w:r>
    </w:p>
    <w:p w14:paraId="1F5EA381" w14:textId="77777777" w:rsidR="00FD1846" w:rsidRPr="009F013E" w:rsidRDefault="00FD1846" w:rsidP="002D3485">
      <w:pPr>
        <w:pStyle w:val="Default"/>
        <w:rPr>
          <w:rFonts w:ascii="Times New Roman" w:eastAsia="Times New Roman" w:hAnsi="Times New Roman" w:cs="Times New Roman"/>
        </w:rPr>
      </w:pPr>
    </w:p>
    <w:p w14:paraId="0CB33D65" w14:textId="77777777" w:rsidR="00FD1846" w:rsidRPr="009F013E" w:rsidRDefault="00FD1846" w:rsidP="002D3485">
      <w:pPr>
        <w:pStyle w:val="Default"/>
        <w:rPr>
          <w:rFonts w:ascii="Times New Roman" w:eastAsia="Times New Roman" w:hAnsi="Times New Roman" w:cs="Times New Roman"/>
        </w:rPr>
      </w:pPr>
      <w:r w:rsidRPr="009F013E">
        <w:rPr>
          <w:rFonts w:ascii="Times New Roman" w:eastAsia="Times New Roman" w:hAnsi="Times New Roman" w:cs="Times New Roman"/>
        </w:rPr>
        <w:t>The terminating network equipment for the broadband connections will meet the industry standards for interconnection and interoperability.</w:t>
      </w:r>
    </w:p>
    <w:p w14:paraId="534701A4" w14:textId="77777777" w:rsidR="00FD1846" w:rsidRPr="009F013E" w:rsidRDefault="00FD1846" w:rsidP="002D3485">
      <w:pPr>
        <w:pStyle w:val="Default"/>
        <w:rPr>
          <w:rFonts w:ascii="Times New Roman" w:eastAsia="Times New Roman" w:hAnsi="Times New Roman" w:cs="Times New Roman"/>
        </w:rPr>
      </w:pPr>
    </w:p>
    <w:p w14:paraId="6616C206" w14:textId="77777777" w:rsidR="00FD1846" w:rsidRPr="009F013E" w:rsidRDefault="00FD1846" w:rsidP="002D3485">
      <w:pPr>
        <w:pStyle w:val="Default"/>
        <w:rPr>
          <w:rFonts w:ascii="Times New Roman" w:eastAsia="Times New Roman" w:hAnsi="Times New Roman" w:cs="Times New Roman"/>
        </w:rPr>
      </w:pPr>
      <w:r w:rsidRPr="009F013E">
        <w:rPr>
          <w:rFonts w:ascii="Times New Roman" w:eastAsia="Times New Roman" w:hAnsi="Times New Roman" w:cs="Times New Roman"/>
        </w:rPr>
        <w:t>The best practices for network management and monitoring, as well as for network redundancies will be required from our ISPs.</w:t>
      </w:r>
    </w:p>
    <w:p w14:paraId="121E4B08" w14:textId="77777777" w:rsidR="00FD1846" w:rsidRPr="009F013E" w:rsidRDefault="00FD1846" w:rsidP="002D3485">
      <w:pPr>
        <w:pStyle w:val="Default"/>
        <w:rPr>
          <w:rFonts w:ascii="Times New Roman" w:eastAsia="Times New Roman" w:hAnsi="Times New Roman" w:cs="Times New Roman"/>
        </w:rPr>
      </w:pPr>
    </w:p>
    <w:p w14:paraId="2F312622" w14:textId="77777777" w:rsidR="00FD1846" w:rsidRPr="009F013E" w:rsidRDefault="00181883" w:rsidP="00181883">
      <w:pPr>
        <w:pStyle w:val="Default"/>
        <w:numPr>
          <w:ilvl w:val="0"/>
          <w:numId w:val="1"/>
        </w:numPr>
        <w:ind w:left="540" w:hanging="540"/>
        <w:rPr>
          <w:rFonts w:ascii="Times New Roman" w:eastAsia="Times New Roman" w:hAnsi="Times New Roman" w:cs="Times New Roman"/>
        </w:rPr>
      </w:pPr>
      <w:r w:rsidRPr="009F013E">
        <w:rPr>
          <w:rFonts w:ascii="Times New Roman" w:hAnsi="Times New Roman" w:cs="Times New Roman"/>
          <w:b/>
          <w:bCs/>
        </w:rPr>
        <w:t>How the broadband services will be used to improve or provide health care delivery</w:t>
      </w:r>
      <w:r w:rsidR="00E24004" w:rsidRPr="009F013E">
        <w:rPr>
          <w:rFonts w:ascii="Times New Roman" w:eastAsia="Times New Roman" w:hAnsi="Times New Roman" w:cs="Times New Roman"/>
        </w:rPr>
        <w:t>:</w:t>
      </w:r>
      <w:r w:rsidRPr="009F013E">
        <w:rPr>
          <w:rFonts w:ascii="Times New Roman" w:eastAsia="Times New Roman" w:hAnsi="Times New Roman" w:cs="Times New Roman"/>
        </w:rPr>
        <w:t xml:space="preserve">  </w:t>
      </w:r>
    </w:p>
    <w:p w14:paraId="0B90B0FC" w14:textId="77777777" w:rsidR="00FD1846" w:rsidRPr="009F013E" w:rsidRDefault="00FD1846" w:rsidP="002D3485">
      <w:pPr>
        <w:pStyle w:val="Default"/>
        <w:rPr>
          <w:rFonts w:ascii="Times New Roman" w:eastAsia="Times New Roman" w:hAnsi="Times New Roman" w:cs="Times New Roman"/>
        </w:rPr>
      </w:pPr>
    </w:p>
    <w:p w14:paraId="48E263BA" w14:textId="77777777" w:rsidR="00181883" w:rsidRPr="009F013E" w:rsidRDefault="00181883" w:rsidP="00181883">
      <w:pPr>
        <w:widowControl w:val="0"/>
        <w:autoSpaceDE w:val="0"/>
        <w:autoSpaceDN w:val="0"/>
        <w:adjustRightInd w:val="0"/>
        <w:spacing w:after="0" w:line="240" w:lineRule="auto"/>
        <w:rPr>
          <w:rFonts w:ascii="Times New Roman" w:hAnsi="Times New Roman" w:cs="Times New Roman"/>
          <w:color w:val="000000"/>
          <w:sz w:val="24"/>
          <w:szCs w:val="24"/>
        </w:rPr>
      </w:pPr>
      <w:r w:rsidRPr="009F013E">
        <w:rPr>
          <w:rFonts w:ascii="Times New Roman" w:hAnsi="Times New Roman" w:cs="Times New Roman"/>
          <w:color w:val="000000"/>
          <w:sz w:val="24"/>
          <w:szCs w:val="24"/>
        </w:rPr>
        <w:t xml:space="preserve">As stated earlier, the objective of the NYCBP is to leverage broadband connectivity to enhance and expedite collaboration among our healthcare partners to deliver affordable, timely and quality healthcare in the underserved regions of NY State.  The discounted pricing for broadband services for our partners will provide a huge step forward in realizing our objective.  Further, we can layer telehealth and health information exchange services on top of the proposed broadband network to facilitate our goals.  The overall impact of these initiatives will (1) improve quality of rural healthcare </w:t>
      </w:r>
      <w:r w:rsidR="006E4839" w:rsidRPr="009F013E">
        <w:rPr>
          <w:rFonts w:ascii="Times New Roman" w:hAnsi="Times New Roman" w:cs="Times New Roman"/>
          <w:color w:val="000000"/>
          <w:sz w:val="24"/>
          <w:szCs w:val="24"/>
        </w:rPr>
        <w:t>by connecting urban hospitals with rural health centers, (2) improve access by reducing the distance travelled and time away from work for the rural patients, and (3) increase affordability by reducing the added costs of transportation incurred by the rural patients for accessing quality healthcare.</w:t>
      </w:r>
      <w:r w:rsidRPr="009F013E">
        <w:rPr>
          <w:rFonts w:ascii="Times New Roman" w:hAnsi="Times New Roman" w:cs="Times New Roman"/>
          <w:color w:val="000000"/>
          <w:sz w:val="24"/>
          <w:szCs w:val="24"/>
        </w:rPr>
        <w:t xml:space="preserve"> </w:t>
      </w:r>
    </w:p>
    <w:p w14:paraId="3018A88B" w14:textId="77777777" w:rsidR="002D3485" w:rsidRPr="009F013E" w:rsidRDefault="002D3485" w:rsidP="002D3485">
      <w:pPr>
        <w:pStyle w:val="Default"/>
        <w:rPr>
          <w:rFonts w:ascii="Times New Roman" w:eastAsia="Times New Roman" w:hAnsi="Times New Roman" w:cs="Times New Roman"/>
        </w:rPr>
      </w:pPr>
    </w:p>
    <w:p w14:paraId="3D06AB65" w14:textId="77777777" w:rsidR="006E4839" w:rsidRPr="009F013E" w:rsidRDefault="006E4839" w:rsidP="00262C2A">
      <w:pPr>
        <w:pStyle w:val="Default"/>
        <w:numPr>
          <w:ilvl w:val="0"/>
          <w:numId w:val="1"/>
        </w:numPr>
        <w:ind w:left="540" w:hanging="630"/>
        <w:rPr>
          <w:rFonts w:ascii="Times New Roman" w:eastAsia="Times New Roman" w:hAnsi="Times New Roman" w:cs="Times New Roman"/>
          <w:b/>
        </w:rPr>
      </w:pPr>
      <w:r w:rsidRPr="009F013E">
        <w:rPr>
          <w:rFonts w:ascii="Times New Roman" w:eastAsia="Times New Roman" w:hAnsi="Times New Roman" w:cs="Times New Roman"/>
          <w:b/>
        </w:rPr>
        <w:t>Previous experience in developing and managing health IT (including telemedicine) programs</w:t>
      </w:r>
      <w:r w:rsidR="00E24004" w:rsidRPr="009F013E">
        <w:rPr>
          <w:rFonts w:ascii="Times New Roman" w:eastAsia="Times New Roman" w:hAnsi="Times New Roman" w:cs="Times New Roman"/>
          <w:b/>
        </w:rPr>
        <w:t>:</w:t>
      </w:r>
      <w:r w:rsidRPr="009F013E">
        <w:rPr>
          <w:rFonts w:ascii="Times New Roman" w:eastAsia="Times New Roman" w:hAnsi="Times New Roman" w:cs="Times New Roman"/>
          <w:b/>
        </w:rPr>
        <w:t xml:space="preserve">  </w:t>
      </w:r>
    </w:p>
    <w:p w14:paraId="43EA25CC" w14:textId="77777777" w:rsidR="006E4839" w:rsidRPr="009F013E" w:rsidRDefault="006E4839" w:rsidP="006E4839">
      <w:pPr>
        <w:pStyle w:val="Default"/>
        <w:ind w:left="1080"/>
        <w:rPr>
          <w:rFonts w:ascii="Times New Roman" w:hAnsi="Times New Roman" w:cs="Times New Roman"/>
        </w:rPr>
      </w:pPr>
    </w:p>
    <w:p w14:paraId="08B8D05D" w14:textId="77777777" w:rsidR="006E4839" w:rsidRPr="009F013E" w:rsidRDefault="006E4839" w:rsidP="00E24004">
      <w:pPr>
        <w:widowControl w:val="0"/>
        <w:autoSpaceDE w:val="0"/>
        <w:autoSpaceDN w:val="0"/>
        <w:adjustRightInd w:val="0"/>
        <w:spacing w:after="0" w:line="240" w:lineRule="auto"/>
        <w:rPr>
          <w:rFonts w:ascii="Times New Roman" w:hAnsi="Times New Roman" w:cs="Times New Roman"/>
          <w:color w:val="000000"/>
          <w:sz w:val="24"/>
          <w:szCs w:val="24"/>
        </w:rPr>
      </w:pPr>
      <w:r w:rsidRPr="009F013E">
        <w:rPr>
          <w:rFonts w:ascii="Times New Roman" w:hAnsi="Times New Roman" w:cs="Times New Roman"/>
          <w:color w:val="000000"/>
          <w:sz w:val="24"/>
          <w:szCs w:val="24"/>
        </w:rPr>
        <w:t xml:space="preserve">Since 2008, FLMHCP, the lead agency in NYCBP, has been </w:t>
      </w:r>
      <w:r w:rsidR="00262C2A" w:rsidRPr="009F013E">
        <w:rPr>
          <w:rFonts w:ascii="Times New Roman" w:hAnsi="Times New Roman" w:cs="Times New Roman"/>
          <w:color w:val="000000"/>
          <w:sz w:val="24"/>
          <w:szCs w:val="24"/>
        </w:rPr>
        <w:t>a member of the WNY Rural Broadband Healthcare Network, started through the RHC Pilot Program by the FCC.  During this time, FLMHCP has also</w:t>
      </w:r>
      <w:r w:rsidRPr="009F013E">
        <w:rPr>
          <w:rFonts w:ascii="Times New Roman" w:hAnsi="Times New Roman" w:cs="Times New Roman"/>
          <w:color w:val="000000"/>
          <w:sz w:val="24"/>
          <w:szCs w:val="24"/>
        </w:rPr>
        <w:t xml:space="preserve"> </w:t>
      </w:r>
      <w:r w:rsidR="00262C2A" w:rsidRPr="009F013E">
        <w:rPr>
          <w:rFonts w:ascii="Times New Roman" w:hAnsi="Times New Roman" w:cs="Times New Roman"/>
          <w:color w:val="000000"/>
          <w:sz w:val="24"/>
          <w:szCs w:val="24"/>
        </w:rPr>
        <w:t xml:space="preserve">built the Finger Lakes Telehealth Network for telemedicine and distance learning applications through funding from </w:t>
      </w:r>
      <w:r w:rsidRPr="009F013E">
        <w:rPr>
          <w:rFonts w:ascii="Times New Roman" w:hAnsi="Times New Roman" w:cs="Times New Roman"/>
          <w:color w:val="000000"/>
          <w:sz w:val="24"/>
          <w:szCs w:val="24"/>
        </w:rPr>
        <w:t xml:space="preserve">the USDA Distance Learning and Telemedicine grant and HRSA Network Development grant. </w:t>
      </w:r>
    </w:p>
    <w:p w14:paraId="351E3DAD" w14:textId="77777777" w:rsidR="006E4839" w:rsidRPr="009F013E" w:rsidRDefault="006E4839" w:rsidP="006E4839">
      <w:pPr>
        <w:pStyle w:val="Default"/>
        <w:rPr>
          <w:rFonts w:ascii="Times New Roman" w:hAnsi="Times New Roman" w:cs="Times New Roman"/>
        </w:rPr>
      </w:pPr>
    </w:p>
    <w:p w14:paraId="6430F109" w14:textId="77777777" w:rsidR="00262C2A" w:rsidRPr="009F013E" w:rsidRDefault="00262C2A" w:rsidP="00997DAB">
      <w:pPr>
        <w:pStyle w:val="Default"/>
        <w:rPr>
          <w:rFonts w:ascii="Times New Roman" w:eastAsia="Times New Roman" w:hAnsi="Times New Roman" w:cs="Times New Roman"/>
        </w:rPr>
      </w:pPr>
      <w:r w:rsidRPr="009F013E">
        <w:rPr>
          <w:rFonts w:ascii="Times New Roman" w:hAnsi="Times New Roman" w:cs="Times New Roman"/>
        </w:rPr>
        <w:t>The m</w:t>
      </w:r>
      <w:r w:rsidR="00071BED" w:rsidRPr="009F013E">
        <w:rPr>
          <w:rFonts w:ascii="Times New Roman" w:hAnsi="Times New Roman" w:cs="Times New Roman"/>
        </w:rPr>
        <w:t xml:space="preserve">anagement and partners involved with this project have extensive experience </w:t>
      </w:r>
      <w:r w:rsidRPr="009F013E">
        <w:rPr>
          <w:rFonts w:ascii="Times New Roman" w:hAnsi="Times New Roman" w:cs="Times New Roman"/>
        </w:rPr>
        <w:t>in implementing projects that leverage and integrate techno</w:t>
      </w:r>
      <w:r w:rsidR="00260939" w:rsidRPr="009F013E">
        <w:rPr>
          <w:rFonts w:ascii="Times New Roman" w:hAnsi="Times New Roman" w:cs="Times New Roman"/>
        </w:rPr>
        <w:t>logy in rural clinical settings</w:t>
      </w:r>
      <w:r w:rsidRPr="009F013E">
        <w:rPr>
          <w:rFonts w:ascii="Times New Roman" w:hAnsi="Times New Roman" w:cs="Times New Roman"/>
        </w:rPr>
        <w:t xml:space="preserve"> and in developing regional partnerships in building innovative clinical programs through the use of telemedicine and health information exchange.</w:t>
      </w:r>
    </w:p>
    <w:p w14:paraId="449BC248" w14:textId="77777777" w:rsidR="00071BED" w:rsidRPr="009F013E" w:rsidRDefault="00071BED" w:rsidP="00997DAB">
      <w:pPr>
        <w:pStyle w:val="Default"/>
        <w:rPr>
          <w:rFonts w:ascii="Times New Roman" w:eastAsia="Times New Roman" w:hAnsi="Times New Roman" w:cs="Times New Roman"/>
        </w:rPr>
      </w:pPr>
      <w:r w:rsidRPr="009F013E">
        <w:rPr>
          <w:rFonts w:ascii="Times New Roman" w:eastAsia="Times New Roman" w:hAnsi="Times New Roman" w:cs="Times New Roman"/>
        </w:rPr>
        <w:t xml:space="preserve"> </w:t>
      </w:r>
    </w:p>
    <w:p w14:paraId="26792018" w14:textId="77777777" w:rsidR="00997DAB" w:rsidRPr="009F013E" w:rsidRDefault="00997DAB" w:rsidP="00997DAB">
      <w:pPr>
        <w:pStyle w:val="Default"/>
        <w:numPr>
          <w:ilvl w:val="0"/>
          <w:numId w:val="1"/>
        </w:numPr>
        <w:ind w:left="630" w:hanging="630"/>
        <w:rPr>
          <w:rFonts w:ascii="Times New Roman" w:hAnsi="Times New Roman" w:cs="Times New Roman"/>
          <w:b/>
        </w:rPr>
      </w:pPr>
      <w:r w:rsidRPr="009F013E">
        <w:rPr>
          <w:rFonts w:ascii="Times New Roman" w:eastAsia="Times New Roman" w:hAnsi="Times New Roman" w:cs="Times New Roman"/>
          <w:b/>
        </w:rPr>
        <w:t>Project management plan outlining the project’s leadership and management structure, and a work plan, sched</w:t>
      </w:r>
      <w:r w:rsidR="00E24004" w:rsidRPr="009F013E">
        <w:rPr>
          <w:rFonts w:ascii="Times New Roman" w:eastAsia="Times New Roman" w:hAnsi="Times New Roman" w:cs="Times New Roman"/>
          <w:b/>
        </w:rPr>
        <w:t>ule, and budget:</w:t>
      </w:r>
      <w:r w:rsidRPr="009F013E">
        <w:rPr>
          <w:rFonts w:ascii="Times New Roman" w:eastAsia="Times New Roman" w:hAnsi="Times New Roman" w:cs="Times New Roman"/>
          <w:b/>
        </w:rPr>
        <w:t xml:space="preserve"> </w:t>
      </w:r>
    </w:p>
    <w:p w14:paraId="0FD10DB1" w14:textId="77777777" w:rsidR="00997DAB" w:rsidRPr="009F013E" w:rsidRDefault="00997DAB" w:rsidP="009F013E">
      <w:pPr>
        <w:pStyle w:val="Default"/>
        <w:rPr>
          <w:rFonts w:ascii="Times New Roman" w:hAnsi="Times New Roman" w:cs="Times New Roman"/>
        </w:rPr>
      </w:pPr>
    </w:p>
    <w:p w14:paraId="6206F207" w14:textId="77777777" w:rsidR="00997DAB" w:rsidRPr="009F013E" w:rsidRDefault="00997DAB" w:rsidP="009F013E">
      <w:pPr>
        <w:spacing w:after="0"/>
        <w:jc w:val="both"/>
        <w:rPr>
          <w:rFonts w:ascii="Times New Roman" w:hAnsi="Times New Roman" w:cs="Times New Roman"/>
          <w:sz w:val="24"/>
          <w:szCs w:val="24"/>
        </w:rPr>
      </w:pPr>
      <w:r w:rsidRPr="009F013E">
        <w:rPr>
          <w:rFonts w:ascii="Times New Roman" w:hAnsi="Times New Roman" w:cs="Times New Roman"/>
          <w:sz w:val="24"/>
          <w:szCs w:val="24"/>
        </w:rPr>
        <w:t>The NYCBP program staff includes 4 staff members with 30 years’ combined experience with project implementation and management whose primary responsibilities are to:</w:t>
      </w:r>
    </w:p>
    <w:p w14:paraId="3F7FCF42" w14:textId="77777777" w:rsidR="00997DAB" w:rsidRPr="009F013E" w:rsidRDefault="00997DAB" w:rsidP="00997DAB">
      <w:pPr>
        <w:numPr>
          <w:ilvl w:val="0"/>
          <w:numId w:val="4"/>
        </w:numPr>
        <w:spacing w:before="120" w:after="0" w:line="240" w:lineRule="auto"/>
        <w:jc w:val="both"/>
        <w:rPr>
          <w:rFonts w:ascii="Times New Roman" w:hAnsi="Times New Roman" w:cs="Times New Roman"/>
          <w:sz w:val="24"/>
          <w:szCs w:val="24"/>
        </w:rPr>
      </w:pPr>
      <w:r w:rsidRPr="009F013E">
        <w:rPr>
          <w:rFonts w:ascii="Times New Roman" w:hAnsi="Times New Roman" w:cs="Times New Roman"/>
          <w:sz w:val="24"/>
          <w:szCs w:val="24"/>
        </w:rPr>
        <w:t>Conduct market assessments and implement marketing plans to expand services.</w:t>
      </w:r>
    </w:p>
    <w:p w14:paraId="253EF337" w14:textId="77777777" w:rsidR="00997DAB" w:rsidRPr="009F013E" w:rsidRDefault="00997DAB" w:rsidP="00997DAB">
      <w:pPr>
        <w:numPr>
          <w:ilvl w:val="0"/>
          <w:numId w:val="4"/>
        </w:numPr>
        <w:spacing w:before="120" w:after="0" w:line="240" w:lineRule="auto"/>
        <w:jc w:val="both"/>
        <w:rPr>
          <w:rFonts w:ascii="Times New Roman" w:hAnsi="Times New Roman" w:cs="Times New Roman"/>
          <w:sz w:val="24"/>
          <w:szCs w:val="24"/>
        </w:rPr>
      </w:pPr>
      <w:r w:rsidRPr="009F013E">
        <w:rPr>
          <w:rFonts w:ascii="Times New Roman" w:hAnsi="Times New Roman" w:cs="Times New Roman"/>
          <w:sz w:val="24"/>
          <w:szCs w:val="24"/>
        </w:rPr>
        <w:t>Lead site development, contracting, and training.</w:t>
      </w:r>
    </w:p>
    <w:p w14:paraId="7B054F75" w14:textId="77777777" w:rsidR="00997DAB" w:rsidRPr="009F013E" w:rsidRDefault="00997DAB" w:rsidP="00997DAB">
      <w:pPr>
        <w:numPr>
          <w:ilvl w:val="0"/>
          <w:numId w:val="4"/>
        </w:numPr>
        <w:spacing w:before="120" w:after="0" w:line="240" w:lineRule="auto"/>
        <w:jc w:val="both"/>
        <w:rPr>
          <w:rFonts w:ascii="Times New Roman" w:hAnsi="Times New Roman" w:cs="Times New Roman"/>
          <w:sz w:val="24"/>
          <w:szCs w:val="24"/>
        </w:rPr>
      </w:pPr>
      <w:r w:rsidRPr="009F013E">
        <w:rPr>
          <w:rFonts w:ascii="Times New Roman" w:hAnsi="Times New Roman" w:cs="Times New Roman"/>
          <w:sz w:val="24"/>
          <w:szCs w:val="24"/>
        </w:rPr>
        <w:t>Promote awareness of telemedicine and healthcare technology as an option by physicians and members in the community.</w:t>
      </w:r>
    </w:p>
    <w:p w14:paraId="15C62A7A" w14:textId="77777777" w:rsidR="00997DAB" w:rsidRPr="009F013E" w:rsidRDefault="00997DAB" w:rsidP="00997DAB">
      <w:pPr>
        <w:numPr>
          <w:ilvl w:val="0"/>
          <w:numId w:val="4"/>
        </w:numPr>
        <w:spacing w:before="120" w:after="0" w:line="240" w:lineRule="auto"/>
        <w:jc w:val="both"/>
        <w:rPr>
          <w:rFonts w:ascii="Times New Roman" w:hAnsi="Times New Roman" w:cs="Times New Roman"/>
          <w:sz w:val="24"/>
          <w:szCs w:val="24"/>
        </w:rPr>
      </w:pPr>
      <w:r w:rsidRPr="009F013E">
        <w:rPr>
          <w:rFonts w:ascii="Times New Roman" w:hAnsi="Times New Roman" w:cs="Times New Roman"/>
          <w:sz w:val="24"/>
          <w:szCs w:val="24"/>
        </w:rPr>
        <w:t>Conduct analysis of regional needs and specialty referral patterns to target prospective sites, and identify non-performing sites’ implementation plans to mitigate utilization-related issues and eliminate barriers to utilization of program.</w:t>
      </w:r>
    </w:p>
    <w:p w14:paraId="6E583E3E" w14:textId="77777777" w:rsidR="009F013E" w:rsidRDefault="009F013E" w:rsidP="009F013E">
      <w:pPr>
        <w:spacing w:after="0" w:line="240" w:lineRule="auto"/>
        <w:rPr>
          <w:rFonts w:ascii="Times New Roman" w:hAnsi="Times New Roman" w:cs="Times New Roman"/>
          <w:sz w:val="24"/>
          <w:szCs w:val="24"/>
        </w:rPr>
      </w:pPr>
    </w:p>
    <w:p w14:paraId="4A58CC01" w14:textId="77777777" w:rsidR="00997DAB" w:rsidRPr="009F013E" w:rsidRDefault="00997DAB" w:rsidP="00997DAB">
      <w:pPr>
        <w:rPr>
          <w:rFonts w:ascii="Times New Roman" w:hAnsi="Times New Roman" w:cs="Times New Roman"/>
          <w:sz w:val="24"/>
          <w:szCs w:val="24"/>
        </w:rPr>
      </w:pPr>
      <w:r w:rsidRPr="009F013E">
        <w:rPr>
          <w:rFonts w:ascii="Times New Roman" w:hAnsi="Times New Roman" w:cs="Times New Roman"/>
          <w:sz w:val="24"/>
          <w:szCs w:val="24"/>
        </w:rPr>
        <w:t>Supporting the core NYCBP team will be a Bus</w:t>
      </w:r>
      <w:r w:rsidR="00260939" w:rsidRPr="009F013E">
        <w:rPr>
          <w:rFonts w:ascii="Times New Roman" w:hAnsi="Times New Roman" w:cs="Times New Roman"/>
          <w:sz w:val="24"/>
          <w:szCs w:val="24"/>
        </w:rPr>
        <w:t>iness Advisory Board (comprised</w:t>
      </w:r>
      <w:r w:rsidRPr="009F013E">
        <w:rPr>
          <w:rFonts w:ascii="Times New Roman" w:hAnsi="Times New Roman" w:cs="Times New Roman"/>
          <w:sz w:val="24"/>
          <w:szCs w:val="24"/>
        </w:rPr>
        <w:t xml:space="preserve"> of </w:t>
      </w:r>
      <w:r w:rsidR="000C3510" w:rsidRPr="009F013E">
        <w:rPr>
          <w:rFonts w:ascii="Times New Roman" w:hAnsi="Times New Roman" w:cs="Times New Roman"/>
          <w:sz w:val="24"/>
          <w:szCs w:val="24"/>
        </w:rPr>
        <w:t>members</w:t>
      </w:r>
      <w:r w:rsidRPr="009F013E">
        <w:rPr>
          <w:rFonts w:ascii="Times New Roman" w:hAnsi="Times New Roman" w:cs="Times New Roman"/>
          <w:sz w:val="24"/>
          <w:szCs w:val="24"/>
        </w:rPr>
        <w:t xml:space="preserve"> from partnering institutions) and a Tech</w:t>
      </w:r>
      <w:r w:rsidR="00260939" w:rsidRPr="009F013E">
        <w:rPr>
          <w:rFonts w:ascii="Times New Roman" w:hAnsi="Times New Roman" w:cs="Times New Roman"/>
          <w:sz w:val="24"/>
          <w:szCs w:val="24"/>
        </w:rPr>
        <w:t>nical Advisory Board (comprised</w:t>
      </w:r>
      <w:r w:rsidRPr="009F013E">
        <w:rPr>
          <w:rFonts w:ascii="Times New Roman" w:hAnsi="Times New Roman" w:cs="Times New Roman"/>
          <w:sz w:val="24"/>
          <w:szCs w:val="24"/>
        </w:rPr>
        <w:t xml:space="preserve"> of CIOs from partnering institutions).  This core team will explore all aspects of coordination of the activities associated with developing the framework of the Network design and implementation plan.  The following is a list of key tasks to be handled by the project team:</w:t>
      </w:r>
    </w:p>
    <w:p w14:paraId="4B972964" w14:textId="77777777" w:rsidR="00997DAB" w:rsidRPr="009F013E" w:rsidRDefault="00997DAB" w:rsidP="00997DAB">
      <w:pPr>
        <w:numPr>
          <w:ilvl w:val="0"/>
          <w:numId w:val="5"/>
        </w:numPr>
        <w:spacing w:after="0" w:line="240" w:lineRule="auto"/>
        <w:rPr>
          <w:rFonts w:ascii="Times New Roman" w:hAnsi="Times New Roman" w:cs="Times New Roman"/>
          <w:sz w:val="24"/>
          <w:szCs w:val="24"/>
        </w:rPr>
      </w:pPr>
      <w:r w:rsidRPr="009F013E">
        <w:rPr>
          <w:rFonts w:ascii="Times New Roman" w:hAnsi="Times New Roman" w:cs="Times New Roman"/>
          <w:sz w:val="24"/>
          <w:szCs w:val="24"/>
        </w:rPr>
        <w:t>Develop a membership governance framework for the consortium</w:t>
      </w:r>
      <w:r w:rsidR="00260939" w:rsidRPr="009F013E">
        <w:rPr>
          <w:rFonts w:ascii="Times New Roman" w:hAnsi="Times New Roman" w:cs="Times New Roman"/>
          <w:sz w:val="24"/>
          <w:szCs w:val="24"/>
        </w:rPr>
        <w:t>;</w:t>
      </w:r>
    </w:p>
    <w:p w14:paraId="011BB1CE" w14:textId="77777777" w:rsidR="00997DAB" w:rsidRPr="009F013E" w:rsidRDefault="00997DAB" w:rsidP="00997DAB">
      <w:pPr>
        <w:numPr>
          <w:ilvl w:val="0"/>
          <w:numId w:val="5"/>
        </w:numPr>
        <w:spacing w:after="0" w:line="240" w:lineRule="auto"/>
        <w:rPr>
          <w:rFonts w:ascii="Times New Roman" w:hAnsi="Times New Roman" w:cs="Times New Roman"/>
          <w:sz w:val="24"/>
          <w:szCs w:val="24"/>
        </w:rPr>
      </w:pPr>
      <w:r w:rsidRPr="009F013E">
        <w:rPr>
          <w:rFonts w:ascii="Times New Roman" w:hAnsi="Times New Roman" w:cs="Times New Roman"/>
          <w:sz w:val="24"/>
          <w:szCs w:val="24"/>
        </w:rPr>
        <w:t>Individual partner facility assessment</w:t>
      </w:r>
      <w:r w:rsidR="00260939" w:rsidRPr="009F013E">
        <w:rPr>
          <w:rFonts w:ascii="Times New Roman" w:hAnsi="Times New Roman" w:cs="Times New Roman"/>
          <w:sz w:val="24"/>
          <w:szCs w:val="24"/>
        </w:rPr>
        <w:t>;</w:t>
      </w:r>
    </w:p>
    <w:p w14:paraId="1E80E276" w14:textId="77777777" w:rsidR="00997DAB" w:rsidRPr="009F013E" w:rsidRDefault="00997DAB" w:rsidP="00997DAB">
      <w:pPr>
        <w:numPr>
          <w:ilvl w:val="0"/>
          <w:numId w:val="5"/>
        </w:numPr>
        <w:spacing w:after="0" w:line="240" w:lineRule="auto"/>
        <w:rPr>
          <w:rFonts w:ascii="Times New Roman" w:hAnsi="Times New Roman" w:cs="Times New Roman"/>
          <w:sz w:val="24"/>
          <w:szCs w:val="24"/>
        </w:rPr>
      </w:pPr>
      <w:r w:rsidRPr="009F013E">
        <w:rPr>
          <w:rFonts w:ascii="Times New Roman" w:hAnsi="Times New Roman" w:cs="Times New Roman"/>
          <w:sz w:val="24"/>
          <w:szCs w:val="24"/>
        </w:rPr>
        <w:t>Continuing review of the broadband and technical specifications for the Network</w:t>
      </w:r>
      <w:r w:rsidR="00260939" w:rsidRPr="009F013E">
        <w:rPr>
          <w:rFonts w:ascii="Times New Roman" w:hAnsi="Times New Roman" w:cs="Times New Roman"/>
          <w:sz w:val="24"/>
          <w:szCs w:val="24"/>
        </w:rPr>
        <w:t>; and</w:t>
      </w:r>
      <w:r w:rsidRPr="009F013E">
        <w:rPr>
          <w:rFonts w:ascii="Times New Roman" w:hAnsi="Times New Roman" w:cs="Times New Roman"/>
          <w:sz w:val="24"/>
          <w:szCs w:val="24"/>
        </w:rPr>
        <w:t xml:space="preserve"> </w:t>
      </w:r>
    </w:p>
    <w:p w14:paraId="517C8C4E" w14:textId="77777777" w:rsidR="00997DAB" w:rsidRPr="009F013E" w:rsidRDefault="00997DAB" w:rsidP="00997DAB">
      <w:pPr>
        <w:numPr>
          <w:ilvl w:val="0"/>
          <w:numId w:val="5"/>
        </w:numPr>
        <w:spacing w:after="0" w:line="240" w:lineRule="auto"/>
        <w:rPr>
          <w:rFonts w:ascii="Times New Roman" w:hAnsi="Times New Roman" w:cs="Times New Roman"/>
          <w:sz w:val="24"/>
          <w:szCs w:val="24"/>
        </w:rPr>
      </w:pPr>
      <w:r w:rsidRPr="009F013E">
        <w:rPr>
          <w:rFonts w:ascii="Times New Roman" w:hAnsi="Times New Roman" w:cs="Times New Roman"/>
          <w:sz w:val="24"/>
          <w:szCs w:val="24"/>
        </w:rPr>
        <w:t>Researching the service providers and their facility layout in the region.</w:t>
      </w:r>
    </w:p>
    <w:p w14:paraId="321F5D99" w14:textId="77777777" w:rsidR="00997DAB" w:rsidRPr="009F013E" w:rsidRDefault="00997DAB" w:rsidP="00997DAB">
      <w:pPr>
        <w:ind w:left="1080"/>
        <w:rPr>
          <w:rFonts w:ascii="Times New Roman" w:hAnsi="Times New Roman" w:cs="Times New Roman"/>
          <w:sz w:val="24"/>
          <w:szCs w:val="24"/>
        </w:rPr>
      </w:pPr>
    </w:p>
    <w:p w14:paraId="78567CDD" w14:textId="77777777" w:rsidR="001A7C79" w:rsidRPr="009F013E" w:rsidRDefault="001A7C79" w:rsidP="001A7C79">
      <w:pPr>
        <w:pStyle w:val="Default"/>
        <w:rPr>
          <w:rFonts w:ascii="Times New Roman" w:hAnsi="Times New Roman" w:cs="Times New Roman"/>
          <w:color w:val="auto"/>
        </w:rPr>
      </w:pPr>
      <w:r w:rsidRPr="009F013E">
        <w:rPr>
          <w:rFonts w:ascii="Times New Roman" w:hAnsi="Times New Roman" w:cs="Times New Roman"/>
          <w:color w:val="auto"/>
        </w:rPr>
        <w:t xml:space="preserve">After vendors are selected, a detailed plan will be tracked and managed by the </w:t>
      </w:r>
      <w:r w:rsidR="000C3510" w:rsidRPr="009F013E">
        <w:rPr>
          <w:rFonts w:ascii="Times New Roman" w:hAnsi="Times New Roman" w:cs="Times New Roman"/>
          <w:color w:val="auto"/>
        </w:rPr>
        <w:t xml:space="preserve">Consortium Project Coordinator and Member </w:t>
      </w:r>
      <w:r w:rsidRPr="009F013E">
        <w:rPr>
          <w:rFonts w:ascii="Times New Roman" w:hAnsi="Times New Roman" w:cs="Times New Roman"/>
          <w:color w:val="auto"/>
        </w:rPr>
        <w:t xml:space="preserve">Project Manager and will become an integrated piece to the final contract for services.  Weekly </w:t>
      </w:r>
      <w:r w:rsidR="005C2286" w:rsidRPr="009F013E">
        <w:rPr>
          <w:rFonts w:ascii="Times New Roman" w:hAnsi="Times New Roman" w:cs="Times New Roman"/>
          <w:color w:val="auto"/>
        </w:rPr>
        <w:t>updates</w:t>
      </w:r>
      <w:r w:rsidRPr="009F013E">
        <w:rPr>
          <w:rFonts w:ascii="Times New Roman" w:hAnsi="Times New Roman" w:cs="Times New Roman"/>
          <w:color w:val="auto"/>
        </w:rPr>
        <w:t xml:space="preserve"> will ensure that all stakeholders are involved with the progress and cost monitoring of the project. </w:t>
      </w:r>
    </w:p>
    <w:p w14:paraId="290112A9" w14:textId="77777777" w:rsidR="00A5135B" w:rsidRPr="009F013E" w:rsidRDefault="00A5135B" w:rsidP="001A7C79">
      <w:pPr>
        <w:pStyle w:val="Default"/>
        <w:rPr>
          <w:rFonts w:ascii="Times New Roman" w:hAnsi="Times New Roman" w:cs="Times New Roman"/>
          <w:b/>
          <w:color w:val="auto"/>
        </w:rPr>
      </w:pPr>
    </w:p>
    <w:p w14:paraId="2935B849" w14:textId="77777777" w:rsidR="00071BED" w:rsidRPr="009F013E" w:rsidRDefault="00071BED" w:rsidP="001A7C79">
      <w:pPr>
        <w:pStyle w:val="Default"/>
        <w:rPr>
          <w:rFonts w:ascii="Times New Roman" w:hAnsi="Times New Roman" w:cs="Times New Roman"/>
          <w:b/>
          <w:color w:val="auto"/>
        </w:rPr>
      </w:pPr>
      <w:r w:rsidRPr="009F013E">
        <w:rPr>
          <w:rFonts w:ascii="Times New Roman" w:hAnsi="Times New Roman" w:cs="Times New Roman"/>
          <w:b/>
          <w:color w:val="auto"/>
        </w:rPr>
        <w:t xml:space="preserve">Project </w:t>
      </w:r>
      <w:r w:rsidR="00E24004" w:rsidRPr="009F013E">
        <w:rPr>
          <w:rFonts w:ascii="Times New Roman" w:hAnsi="Times New Roman" w:cs="Times New Roman"/>
          <w:b/>
          <w:color w:val="auto"/>
        </w:rPr>
        <w:t>Work</w:t>
      </w:r>
      <w:r w:rsidRPr="009F013E">
        <w:rPr>
          <w:rFonts w:ascii="Times New Roman" w:hAnsi="Times New Roman" w:cs="Times New Roman"/>
          <w:b/>
          <w:color w:val="auto"/>
        </w:rPr>
        <w:t xml:space="preserve"> Plan:</w:t>
      </w:r>
    </w:p>
    <w:p w14:paraId="0CEB88A9" w14:textId="77777777" w:rsidR="00997DAB" w:rsidRDefault="00997DAB">
      <w:pPr>
        <w:pStyle w:val="Default"/>
        <w:rPr>
          <w:rFonts w:cstheme="minorBidi"/>
          <w:color w:val="auto"/>
        </w:rPr>
      </w:pPr>
    </w:p>
    <w:tbl>
      <w:tblPr>
        <w:tblW w:w="676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070"/>
        <w:gridCol w:w="2070"/>
      </w:tblGrid>
      <w:tr w:rsidR="001A7C79" w:rsidRPr="00071BED" w14:paraId="3306503E" w14:textId="77777777" w:rsidTr="001A7C79">
        <w:trPr>
          <w:trHeight w:val="516"/>
        </w:trPr>
        <w:tc>
          <w:tcPr>
            <w:tcW w:w="2628" w:type="dxa"/>
          </w:tcPr>
          <w:p w14:paraId="42E68174" w14:textId="77777777" w:rsidR="001A7C79" w:rsidRPr="00071BED" w:rsidRDefault="001A7C79" w:rsidP="00071BED">
            <w:pPr>
              <w:rPr>
                <w:rFonts w:ascii="Times New Roman" w:hAnsi="Times New Roman" w:cs="Times New Roman"/>
                <w:b/>
                <w:bCs/>
              </w:rPr>
            </w:pPr>
            <w:r w:rsidRPr="00071BED">
              <w:rPr>
                <w:rFonts w:ascii="Times New Roman" w:hAnsi="Times New Roman" w:cs="Times New Roman"/>
                <w:b/>
                <w:bCs/>
              </w:rPr>
              <w:t>Actions</w:t>
            </w:r>
          </w:p>
        </w:tc>
        <w:tc>
          <w:tcPr>
            <w:tcW w:w="2070" w:type="dxa"/>
          </w:tcPr>
          <w:p w14:paraId="2001129D" w14:textId="77777777" w:rsidR="001A7C79" w:rsidRPr="00071BED" w:rsidRDefault="001A7C79" w:rsidP="00071BED">
            <w:pPr>
              <w:rPr>
                <w:rFonts w:ascii="Times New Roman" w:hAnsi="Times New Roman" w:cs="Times New Roman"/>
                <w:b/>
                <w:bCs/>
              </w:rPr>
            </w:pPr>
            <w:r w:rsidRPr="00071BED">
              <w:rPr>
                <w:rFonts w:ascii="Times New Roman" w:hAnsi="Times New Roman" w:cs="Times New Roman"/>
                <w:b/>
                <w:bCs/>
              </w:rPr>
              <w:t>Timetable</w:t>
            </w:r>
          </w:p>
        </w:tc>
        <w:tc>
          <w:tcPr>
            <w:tcW w:w="2070" w:type="dxa"/>
          </w:tcPr>
          <w:p w14:paraId="6433D1D9" w14:textId="77777777" w:rsidR="001A7C79" w:rsidRPr="00071BED" w:rsidRDefault="001A7C79" w:rsidP="00071BED">
            <w:pPr>
              <w:rPr>
                <w:rFonts w:ascii="Times New Roman" w:hAnsi="Times New Roman" w:cs="Times New Roman"/>
                <w:b/>
                <w:bCs/>
              </w:rPr>
            </w:pPr>
            <w:r w:rsidRPr="00071BED">
              <w:rPr>
                <w:rFonts w:ascii="Times New Roman" w:hAnsi="Times New Roman" w:cs="Times New Roman"/>
                <w:b/>
                <w:bCs/>
              </w:rPr>
              <w:t>Responsible Party</w:t>
            </w:r>
          </w:p>
        </w:tc>
      </w:tr>
      <w:tr w:rsidR="001A7C79" w:rsidRPr="00071BED" w14:paraId="50BD9BA1" w14:textId="77777777" w:rsidTr="001A7C79">
        <w:tc>
          <w:tcPr>
            <w:tcW w:w="2628" w:type="dxa"/>
          </w:tcPr>
          <w:p w14:paraId="14412F45" w14:textId="77777777" w:rsidR="001A7C79" w:rsidRPr="00071BED" w:rsidRDefault="000C3510" w:rsidP="00260939">
            <w:pPr>
              <w:tabs>
                <w:tab w:val="num" w:pos="360"/>
              </w:tabs>
              <w:ind w:left="360" w:hanging="360"/>
              <w:rPr>
                <w:rFonts w:ascii="Times New Roman" w:hAnsi="Times New Roman" w:cs="Times New Roman"/>
              </w:rPr>
            </w:pPr>
            <w:r>
              <w:rPr>
                <w:rFonts w:ascii="Times New Roman" w:hAnsi="Times New Roman" w:cs="Times New Roman"/>
              </w:rPr>
              <w:t>1</w:t>
            </w:r>
            <w:r w:rsidR="001A7C79" w:rsidRPr="00071BED">
              <w:rPr>
                <w:rFonts w:ascii="Times New Roman" w:hAnsi="Times New Roman" w:cs="Times New Roman"/>
              </w:rPr>
              <w:t>.  Review RFP responses to find the most cost-effective solution</w:t>
            </w:r>
          </w:p>
        </w:tc>
        <w:tc>
          <w:tcPr>
            <w:tcW w:w="2070" w:type="dxa"/>
          </w:tcPr>
          <w:p w14:paraId="23BF2E41" w14:textId="0B9BC895" w:rsidR="001A7C79" w:rsidRPr="00071BED" w:rsidRDefault="00045F55" w:rsidP="00071BED">
            <w:pPr>
              <w:rPr>
                <w:rFonts w:ascii="Times New Roman" w:hAnsi="Times New Roman" w:cs="Times New Roman"/>
              </w:rPr>
            </w:pPr>
            <w:r>
              <w:rPr>
                <w:rFonts w:ascii="Times New Roman" w:hAnsi="Times New Roman" w:cs="Times New Roman"/>
              </w:rPr>
              <w:t>Conclude 3</w:t>
            </w:r>
            <w:r w:rsidR="00F25EEB">
              <w:rPr>
                <w:rFonts w:ascii="Times New Roman" w:hAnsi="Times New Roman" w:cs="Times New Roman"/>
              </w:rPr>
              <w:t xml:space="preserve"> days after RFP posting period completion</w:t>
            </w:r>
          </w:p>
        </w:tc>
        <w:tc>
          <w:tcPr>
            <w:tcW w:w="2070" w:type="dxa"/>
          </w:tcPr>
          <w:p w14:paraId="785E3253"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Team</w:t>
            </w:r>
          </w:p>
        </w:tc>
      </w:tr>
      <w:tr w:rsidR="001A7C79" w:rsidRPr="00071BED" w14:paraId="45C83D57" w14:textId="77777777" w:rsidTr="001A7C79">
        <w:tc>
          <w:tcPr>
            <w:tcW w:w="2628" w:type="dxa"/>
          </w:tcPr>
          <w:p w14:paraId="15084489" w14:textId="77777777" w:rsidR="001A7C79" w:rsidRPr="00071BED" w:rsidRDefault="000C3510" w:rsidP="00260939">
            <w:pPr>
              <w:tabs>
                <w:tab w:val="num" w:pos="360"/>
              </w:tabs>
              <w:ind w:left="360" w:hanging="360"/>
              <w:rPr>
                <w:rFonts w:ascii="Times New Roman" w:hAnsi="Times New Roman" w:cs="Times New Roman"/>
              </w:rPr>
            </w:pPr>
            <w:r>
              <w:rPr>
                <w:rFonts w:ascii="Times New Roman" w:hAnsi="Times New Roman" w:cs="Times New Roman"/>
              </w:rPr>
              <w:t>2</w:t>
            </w:r>
            <w:r w:rsidR="001A7C79" w:rsidRPr="00071BED">
              <w:rPr>
                <w:rFonts w:ascii="Times New Roman" w:hAnsi="Times New Roman" w:cs="Times New Roman"/>
              </w:rPr>
              <w:t>.  Select vendor</w:t>
            </w:r>
          </w:p>
        </w:tc>
        <w:tc>
          <w:tcPr>
            <w:tcW w:w="2070" w:type="dxa"/>
          </w:tcPr>
          <w:p w14:paraId="7939F576" w14:textId="00EE4CE7" w:rsidR="001A7C79" w:rsidRPr="00071BED" w:rsidRDefault="00045F55" w:rsidP="00071BED">
            <w:pPr>
              <w:rPr>
                <w:rFonts w:ascii="Times New Roman" w:hAnsi="Times New Roman" w:cs="Times New Roman"/>
              </w:rPr>
            </w:pPr>
            <w:r>
              <w:rPr>
                <w:rFonts w:ascii="Times New Roman" w:hAnsi="Times New Roman" w:cs="Times New Roman"/>
              </w:rPr>
              <w:t>Conclude 1</w:t>
            </w:r>
            <w:r w:rsidR="006848A9">
              <w:rPr>
                <w:rFonts w:ascii="Times New Roman" w:hAnsi="Times New Roman" w:cs="Times New Roman"/>
              </w:rPr>
              <w:t>0 days after RFP posting period completion</w:t>
            </w:r>
          </w:p>
        </w:tc>
        <w:tc>
          <w:tcPr>
            <w:tcW w:w="2070" w:type="dxa"/>
          </w:tcPr>
          <w:p w14:paraId="3F8AAAD3" w14:textId="77777777" w:rsidR="001A7C79" w:rsidRPr="00071BED" w:rsidRDefault="001A7C79" w:rsidP="001A7C79">
            <w:pPr>
              <w:rPr>
                <w:rFonts w:ascii="Times New Roman" w:hAnsi="Times New Roman" w:cs="Times New Roman"/>
              </w:rPr>
            </w:pPr>
            <w:r w:rsidRPr="00071BED">
              <w:rPr>
                <w:rFonts w:ascii="Times New Roman" w:hAnsi="Times New Roman" w:cs="Times New Roman"/>
              </w:rPr>
              <w:t xml:space="preserve">Team </w:t>
            </w:r>
          </w:p>
        </w:tc>
      </w:tr>
      <w:tr w:rsidR="001A7C79" w:rsidRPr="00071BED" w14:paraId="02F4B9BE" w14:textId="77777777" w:rsidTr="001A7C79">
        <w:tc>
          <w:tcPr>
            <w:tcW w:w="2628" w:type="dxa"/>
          </w:tcPr>
          <w:p w14:paraId="2DE60088" w14:textId="77777777" w:rsidR="001A7C79" w:rsidRPr="00071BED" w:rsidRDefault="000C3510" w:rsidP="00260939">
            <w:pPr>
              <w:tabs>
                <w:tab w:val="num" w:pos="360"/>
              </w:tabs>
              <w:ind w:left="360" w:hanging="360"/>
              <w:rPr>
                <w:rFonts w:ascii="Times New Roman" w:hAnsi="Times New Roman" w:cs="Times New Roman"/>
              </w:rPr>
            </w:pPr>
            <w:r>
              <w:rPr>
                <w:rFonts w:ascii="Times New Roman" w:hAnsi="Times New Roman" w:cs="Times New Roman"/>
              </w:rPr>
              <w:t>3</w:t>
            </w:r>
            <w:r w:rsidR="001A7C79" w:rsidRPr="00071BED">
              <w:rPr>
                <w:rFonts w:ascii="Times New Roman" w:hAnsi="Times New Roman" w:cs="Times New Roman"/>
              </w:rPr>
              <w:t>.  Build implementation teams</w:t>
            </w:r>
          </w:p>
        </w:tc>
        <w:tc>
          <w:tcPr>
            <w:tcW w:w="2070" w:type="dxa"/>
          </w:tcPr>
          <w:p w14:paraId="6BAF37A5"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1 week</w:t>
            </w:r>
          </w:p>
        </w:tc>
        <w:tc>
          <w:tcPr>
            <w:tcW w:w="2070" w:type="dxa"/>
          </w:tcPr>
          <w:p w14:paraId="3BF6B7C4" w14:textId="77777777" w:rsidR="001A7C79" w:rsidRPr="00071BED" w:rsidRDefault="001A7C79" w:rsidP="001A7C79">
            <w:pPr>
              <w:rPr>
                <w:rFonts w:ascii="Times New Roman" w:hAnsi="Times New Roman" w:cs="Times New Roman"/>
              </w:rPr>
            </w:pPr>
            <w:r w:rsidRPr="00071BED">
              <w:rPr>
                <w:rFonts w:ascii="Times New Roman" w:hAnsi="Times New Roman" w:cs="Times New Roman"/>
              </w:rPr>
              <w:t xml:space="preserve">Team </w:t>
            </w:r>
          </w:p>
        </w:tc>
      </w:tr>
      <w:tr w:rsidR="001A7C79" w:rsidRPr="00071BED" w14:paraId="089DE789" w14:textId="77777777" w:rsidTr="001A7C79">
        <w:tc>
          <w:tcPr>
            <w:tcW w:w="2628" w:type="dxa"/>
          </w:tcPr>
          <w:p w14:paraId="018651D8" w14:textId="77777777" w:rsidR="001A7C79" w:rsidRPr="00071BED" w:rsidRDefault="000C3510" w:rsidP="001A7C79">
            <w:pPr>
              <w:tabs>
                <w:tab w:val="num" w:pos="360"/>
              </w:tabs>
              <w:ind w:left="360" w:hanging="360"/>
              <w:rPr>
                <w:rFonts w:ascii="Times New Roman" w:hAnsi="Times New Roman" w:cs="Times New Roman"/>
              </w:rPr>
            </w:pPr>
            <w:r>
              <w:rPr>
                <w:rFonts w:ascii="Times New Roman" w:hAnsi="Times New Roman" w:cs="Times New Roman"/>
              </w:rPr>
              <w:t>4</w:t>
            </w:r>
            <w:r w:rsidR="001A7C79" w:rsidRPr="00071BED">
              <w:rPr>
                <w:rFonts w:ascii="Times New Roman" w:hAnsi="Times New Roman" w:cs="Times New Roman"/>
              </w:rPr>
              <w:t xml:space="preserve">. </w:t>
            </w:r>
            <w:r w:rsidR="00260939">
              <w:rPr>
                <w:rFonts w:ascii="Times New Roman" w:hAnsi="Times New Roman" w:cs="Times New Roman"/>
              </w:rPr>
              <w:t xml:space="preserve"> </w:t>
            </w:r>
            <w:r w:rsidR="001A7C79" w:rsidRPr="00071BED">
              <w:rPr>
                <w:rFonts w:ascii="Times New Roman" w:hAnsi="Times New Roman" w:cs="Times New Roman"/>
              </w:rPr>
              <w:t>Implementation</w:t>
            </w:r>
          </w:p>
        </w:tc>
        <w:tc>
          <w:tcPr>
            <w:tcW w:w="2070" w:type="dxa"/>
          </w:tcPr>
          <w:p w14:paraId="18FE7835"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6-8 months</w:t>
            </w:r>
          </w:p>
        </w:tc>
        <w:tc>
          <w:tcPr>
            <w:tcW w:w="2070" w:type="dxa"/>
          </w:tcPr>
          <w:p w14:paraId="75563E38"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Team Leads</w:t>
            </w:r>
          </w:p>
        </w:tc>
      </w:tr>
      <w:tr w:rsidR="001A7C79" w:rsidRPr="00071BED" w14:paraId="40285672" w14:textId="77777777" w:rsidTr="001A7C79">
        <w:tc>
          <w:tcPr>
            <w:tcW w:w="2628" w:type="dxa"/>
          </w:tcPr>
          <w:p w14:paraId="2CC81BC2" w14:textId="77777777" w:rsidR="001A7C79" w:rsidRPr="00071BED" w:rsidRDefault="000C3510" w:rsidP="00260939">
            <w:pPr>
              <w:tabs>
                <w:tab w:val="num" w:pos="360"/>
              </w:tabs>
              <w:ind w:left="360" w:hanging="360"/>
              <w:rPr>
                <w:rFonts w:ascii="Times New Roman" w:hAnsi="Times New Roman" w:cs="Times New Roman"/>
              </w:rPr>
            </w:pPr>
            <w:r>
              <w:rPr>
                <w:rFonts w:ascii="Times New Roman" w:hAnsi="Times New Roman" w:cs="Times New Roman"/>
              </w:rPr>
              <w:t>5</w:t>
            </w:r>
            <w:r w:rsidR="001A7C79" w:rsidRPr="00071BED">
              <w:rPr>
                <w:rFonts w:ascii="Times New Roman" w:hAnsi="Times New Roman" w:cs="Times New Roman"/>
              </w:rPr>
              <w:t>.  Testing</w:t>
            </w:r>
          </w:p>
        </w:tc>
        <w:tc>
          <w:tcPr>
            <w:tcW w:w="2070" w:type="dxa"/>
          </w:tcPr>
          <w:p w14:paraId="13DDA2AB"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2 weeks</w:t>
            </w:r>
          </w:p>
        </w:tc>
        <w:tc>
          <w:tcPr>
            <w:tcW w:w="2070" w:type="dxa"/>
          </w:tcPr>
          <w:p w14:paraId="38B62EA6"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Team Leads</w:t>
            </w:r>
          </w:p>
        </w:tc>
      </w:tr>
      <w:tr w:rsidR="001A7C79" w:rsidRPr="00071BED" w14:paraId="74163056" w14:textId="77777777" w:rsidTr="001A7C79">
        <w:tc>
          <w:tcPr>
            <w:tcW w:w="2628" w:type="dxa"/>
          </w:tcPr>
          <w:p w14:paraId="66891978" w14:textId="77777777" w:rsidR="001A7C79" w:rsidRPr="00071BED" w:rsidRDefault="000C3510" w:rsidP="00260939">
            <w:pPr>
              <w:tabs>
                <w:tab w:val="num" w:pos="360"/>
              </w:tabs>
              <w:ind w:left="360" w:hanging="360"/>
              <w:rPr>
                <w:rFonts w:ascii="Times New Roman" w:hAnsi="Times New Roman" w:cs="Times New Roman"/>
              </w:rPr>
            </w:pPr>
            <w:r>
              <w:rPr>
                <w:rFonts w:ascii="Times New Roman" w:hAnsi="Times New Roman" w:cs="Times New Roman"/>
              </w:rPr>
              <w:t>6</w:t>
            </w:r>
            <w:r w:rsidR="001A7C79" w:rsidRPr="00071BED">
              <w:rPr>
                <w:rFonts w:ascii="Times New Roman" w:hAnsi="Times New Roman" w:cs="Times New Roman"/>
              </w:rPr>
              <w:t>.  Training</w:t>
            </w:r>
          </w:p>
        </w:tc>
        <w:tc>
          <w:tcPr>
            <w:tcW w:w="2070" w:type="dxa"/>
          </w:tcPr>
          <w:p w14:paraId="34A30A6E"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1 week</w:t>
            </w:r>
          </w:p>
        </w:tc>
        <w:tc>
          <w:tcPr>
            <w:tcW w:w="2070" w:type="dxa"/>
          </w:tcPr>
          <w:p w14:paraId="6DD3DEC5"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Install Experts</w:t>
            </w:r>
          </w:p>
        </w:tc>
      </w:tr>
      <w:tr w:rsidR="001A7C79" w:rsidRPr="00071BED" w14:paraId="27C408EE" w14:textId="77777777" w:rsidTr="001A7C79">
        <w:tc>
          <w:tcPr>
            <w:tcW w:w="2628" w:type="dxa"/>
          </w:tcPr>
          <w:p w14:paraId="12494E5A" w14:textId="77777777" w:rsidR="001A7C79" w:rsidRPr="00071BED" w:rsidRDefault="000C3510" w:rsidP="001A7C79">
            <w:pPr>
              <w:tabs>
                <w:tab w:val="num" w:pos="360"/>
              </w:tabs>
              <w:ind w:left="360" w:hanging="360"/>
              <w:rPr>
                <w:rFonts w:ascii="Times New Roman" w:hAnsi="Times New Roman" w:cs="Times New Roman"/>
              </w:rPr>
            </w:pPr>
            <w:r>
              <w:rPr>
                <w:rFonts w:ascii="Times New Roman" w:hAnsi="Times New Roman" w:cs="Times New Roman"/>
              </w:rPr>
              <w:t>7</w:t>
            </w:r>
            <w:r w:rsidR="001A7C79" w:rsidRPr="00071BED">
              <w:rPr>
                <w:rFonts w:ascii="Times New Roman" w:hAnsi="Times New Roman" w:cs="Times New Roman"/>
              </w:rPr>
              <w:t xml:space="preserve">. </w:t>
            </w:r>
            <w:r w:rsidR="00260939">
              <w:rPr>
                <w:rFonts w:ascii="Times New Roman" w:hAnsi="Times New Roman" w:cs="Times New Roman"/>
              </w:rPr>
              <w:t xml:space="preserve"> </w:t>
            </w:r>
            <w:r w:rsidR="001A7C79" w:rsidRPr="00071BED">
              <w:rPr>
                <w:rFonts w:ascii="Times New Roman" w:hAnsi="Times New Roman" w:cs="Times New Roman"/>
              </w:rPr>
              <w:t>Go-live Planning</w:t>
            </w:r>
          </w:p>
        </w:tc>
        <w:tc>
          <w:tcPr>
            <w:tcW w:w="2070" w:type="dxa"/>
          </w:tcPr>
          <w:p w14:paraId="214F96F5" w14:textId="77777777" w:rsidR="001A7C79" w:rsidRPr="00071BED" w:rsidRDefault="00C75B31" w:rsidP="00071BED">
            <w:pPr>
              <w:rPr>
                <w:rFonts w:ascii="Times New Roman" w:hAnsi="Times New Roman" w:cs="Times New Roman"/>
              </w:rPr>
            </w:pPr>
            <w:r>
              <w:rPr>
                <w:rFonts w:ascii="Times New Roman" w:hAnsi="Times New Roman" w:cs="Times New Roman"/>
              </w:rPr>
              <w:t>30 days</w:t>
            </w:r>
          </w:p>
        </w:tc>
        <w:tc>
          <w:tcPr>
            <w:tcW w:w="2070" w:type="dxa"/>
          </w:tcPr>
          <w:p w14:paraId="055EFAB1" w14:textId="77777777" w:rsidR="001A7C79" w:rsidRPr="00071BED" w:rsidRDefault="001A7C79" w:rsidP="00071BED">
            <w:pPr>
              <w:rPr>
                <w:rFonts w:ascii="Times New Roman" w:hAnsi="Times New Roman" w:cs="Times New Roman"/>
              </w:rPr>
            </w:pPr>
            <w:r w:rsidRPr="00071BED">
              <w:rPr>
                <w:rFonts w:ascii="Times New Roman" w:hAnsi="Times New Roman" w:cs="Times New Roman"/>
              </w:rPr>
              <w:t>Team Leads</w:t>
            </w:r>
          </w:p>
        </w:tc>
      </w:tr>
    </w:tbl>
    <w:p w14:paraId="269767E2" w14:textId="77777777" w:rsidR="00997DAB" w:rsidRDefault="00997DAB">
      <w:pPr>
        <w:pStyle w:val="Default"/>
        <w:rPr>
          <w:rFonts w:cstheme="minorBidi"/>
          <w:color w:val="auto"/>
        </w:rPr>
      </w:pPr>
    </w:p>
    <w:p w14:paraId="1978FF47" w14:textId="77777777" w:rsidR="00071BED" w:rsidRPr="009F013E" w:rsidRDefault="00071BED">
      <w:pPr>
        <w:pStyle w:val="Default"/>
        <w:rPr>
          <w:rFonts w:ascii="Times New Roman" w:hAnsi="Times New Roman" w:cs="Times New Roman"/>
          <w:b/>
          <w:color w:val="auto"/>
        </w:rPr>
      </w:pPr>
      <w:r w:rsidRPr="009F013E">
        <w:rPr>
          <w:rFonts w:ascii="Times New Roman" w:hAnsi="Times New Roman" w:cs="Times New Roman"/>
          <w:b/>
          <w:color w:val="auto"/>
        </w:rPr>
        <w:t>Budget:</w:t>
      </w:r>
    </w:p>
    <w:p w14:paraId="51E606C8" w14:textId="77777777" w:rsidR="00071BED" w:rsidRPr="009F013E" w:rsidRDefault="00071BED">
      <w:pPr>
        <w:pStyle w:val="Default"/>
        <w:rPr>
          <w:rFonts w:cstheme="minorBidi"/>
          <w:color w:val="auto"/>
        </w:rPr>
      </w:pPr>
    </w:p>
    <w:p w14:paraId="009F0525" w14:textId="5DFE6CD3" w:rsidR="00375228" w:rsidRPr="009F013E" w:rsidRDefault="00D92E0E" w:rsidP="00E24004">
      <w:pPr>
        <w:widowControl w:val="0"/>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9F013E">
        <w:rPr>
          <w:rFonts w:ascii="Times New Roman" w:hAnsi="Times New Roman" w:cs="Times New Roman"/>
          <w:color w:val="222222"/>
          <w:sz w:val="24"/>
          <w:szCs w:val="24"/>
          <w:shd w:val="clear" w:color="auto" w:fill="FFFFFF"/>
        </w:rPr>
        <w:t>The annual amount budgeted for broadband serv</w:t>
      </w:r>
      <w:r w:rsidR="00F04C76">
        <w:rPr>
          <w:rFonts w:ascii="Times New Roman" w:hAnsi="Times New Roman" w:cs="Times New Roman"/>
          <w:color w:val="222222"/>
          <w:sz w:val="24"/>
          <w:szCs w:val="24"/>
          <w:shd w:val="clear" w:color="auto" w:fill="FFFFFF"/>
        </w:rPr>
        <w:t xml:space="preserve">ices for the </w:t>
      </w:r>
      <w:r w:rsidR="00374DE1">
        <w:rPr>
          <w:rFonts w:ascii="Times New Roman" w:hAnsi="Times New Roman" w:cs="Times New Roman"/>
          <w:color w:val="222222"/>
          <w:sz w:val="24"/>
          <w:szCs w:val="24"/>
          <w:shd w:val="clear" w:color="auto" w:fill="FFFFFF"/>
        </w:rPr>
        <w:t>CASA-Trinity site</w:t>
      </w:r>
      <w:r w:rsidRPr="009F013E">
        <w:rPr>
          <w:rFonts w:ascii="Times New Roman" w:hAnsi="Times New Roman" w:cs="Times New Roman"/>
          <w:color w:val="222222"/>
          <w:sz w:val="24"/>
          <w:szCs w:val="24"/>
          <w:shd w:val="clear" w:color="auto" w:fill="FFFFFF"/>
        </w:rPr>
        <w:t xml:space="preserve"> in the RFP is $</w:t>
      </w:r>
      <w:r w:rsidR="001C603E">
        <w:rPr>
          <w:rFonts w:ascii="Times New Roman" w:hAnsi="Times New Roman" w:cs="Times New Roman"/>
          <w:color w:val="222222"/>
          <w:sz w:val="24"/>
          <w:szCs w:val="24"/>
          <w:shd w:val="clear" w:color="auto" w:fill="FFFFFF"/>
        </w:rPr>
        <w:t xml:space="preserve"> </w:t>
      </w:r>
      <w:r w:rsidR="00CB7EA7">
        <w:rPr>
          <w:rFonts w:ascii="Times New Roman" w:hAnsi="Times New Roman" w:cs="Times New Roman"/>
          <w:color w:val="222222"/>
          <w:sz w:val="24"/>
          <w:szCs w:val="24"/>
          <w:shd w:val="clear" w:color="auto" w:fill="FFFFFF"/>
        </w:rPr>
        <w:t>25</w:t>
      </w:r>
      <w:r w:rsidR="00EE0703">
        <w:rPr>
          <w:rFonts w:ascii="Times New Roman" w:hAnsi="Times New Roman" w:cs="Times New Roman"/>
          <w:color w:val="222222"/>
          <w:sz w:val="24"/>
          <w:szCs w:val="24"/>
          <w:shd w:val="clear" w:color="auto" w:fill="FFFFFF"/>
        </w:rPr>
        <w:t>2</w:t>
      </w:r>
      <w:r w:rsidR="00FA21AE">
        <w:rPr>
          <w:rFonts w:ascii="Times New Roman" w:hAnsi="Times New Roman" w:cs="Times New Roman"/>
          <w:color w:val="222222"/>
          <w:sz w:val="24"/>
          <w:szCs w:val="24"/>
          <w:shd w:val="clear" w:color="auto" w:fill="FFFFFF"/>
        </w:rPr>
        <w:t>, as detailed in Table 1.1</w:t>
      </w:r>
      <w:r w:rsidRPr="009F013E">
        <w:rPr>
          <w:rFonts w:ascii="Times New Roman" w:hAnsi="Times New Roman" w:cs="Times New Roman"/>
          <w:color w:val="222222"/>
          <w:sz w:val="24"/>
          <w:szCs w:val="24"/>
          <w:shd w:val="clear" w:color="auto" w:fill="FFFFFF"/>
        </w:rPr>
        <w:t xml:space="preserve"> below.  </w:t>
      </w:r>
      <w:r w:rsidR="001C603E">
        <w:rPr>
          <w:rFonts w:ascii="Times New Roman" w:hAnsi="Times New Roman" w:cs="Times New Roman"/>
          <w:color w:val="222222"/>
          <w:sz w:val="24"/>
          <w:szCs w:val="24"/>
          <w:shd w:val="clear" w:color="auto" w:fill="FFFFFF"/>
        </w:rPr>
        <w:t xml:space="preserve">The annual amount budgeted for broadband services for the NOCHSI sites in the RFP is $ 40,227.60, as detailed in Table 1.2 below.  The annual amount budgeted for broadband services for the FHN sites in the RFP is $ </w:t>
      </w:r>
      <w:r w:rsidR="003562FC">
        <w:rPr>
          <w:rFonts w:ascii="Times New Roman" w:hAnsi="Times New Roman" w:cs="Times New Roman"/>
          <w:color w:val="222222"/>
          <w:sz w:val="24"/>
          <w:szCs w:val="24"/>
          <w:shd w:val="clear" w:color="auto" w:fill="FFFFFF"/>
        </w:rPr>
        <w:t>26,665.80</w:t>
      </w:r>
      <w:r w:rsidR="001C603E">
        <w:rPr>
          <w:rFonts w:ascii="Times New Roman" w:hAnsi="Times New Roman" w:cs="Times New Roman"/>
          <w:color w:val="222222"/>
          <w:sz w:val="24"/>
          <w:szCs w:val="24"/>
          <w:shd w:val="clear" w:color="auto" w:fill="FFFFFF"/>
        </w:rPr>
        <w:t xml:space="preserve">, as detailed in Table 1.3 below.  </w:t>
      </w:r>
    </w:p>
    <w:p w14:paraId="6F9511CA" w14:textId="77777777" w:rsidR="00375228" w:rsidRPr="009F013E" w:rsidRDefault="00375228" w:rsidP="00E24004">
      <w:pPr>
        <w:widowControl w:val="0"/>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4D858D0" w14:textId="77777777" w:rsidR="001A3BF4" w:rsidRPr="009F013E" w:rsidRDefault="001A3BF4" w:rsidP="00E24004">
      <w:pPr>
        <w:widowControl w:val="0"/>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9F013E">
        <w:rPr>
          <w:rFonts w:ascii="Times New Roman" w:hAnsi="Times New Roman" w:cs="Times New Roman"/>
          <w:color w:val="222222"/>
          <w:sz w:val="24"/>
          <w:szCs w:val="24"/>
          <w:shd w:val="clear" w:color="auto" w:fill="FFFFFF"/>
        </w:rPr>
        <w:t>NYCBP plans to collect an annual subscription fee from its members for all the administrative costs of managing the partnership. </w:t>
      </w:r>
    </w:p>
    <w:p w14:paraId="3AD3EE44" w14:textId="77777777" w:rsidR="00375228" w:rsidRPr="009F013E" w:rsidRDefault="00375228" w:rsidP="00E24004">
      <w:pPr>
        <w:widowControl w:val="0"/>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F688436" w14:textId="77777777" w:rsidR="00D92E0E" w:rsidRPr="009F013E" w:rsidRDefault="00374DE1" w:rsidP="00E45C5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CASA-Trinity Site</w:t>
      </w:r>
      <w:r w:rsidR="00FA21AE">
        <w:rPr>
          <w:rFonts w:ascii="Times New Roman" w:hAnsi="Times New Roman" w:cs="Times New Roman"/>
          <w:sz w:val="28"/>
          <w:szCs w:val="28"/>
        </w:rPr>
        <w:t xml:space="preserve"> – Table 1.1</w:t>
      </w:r>
    </w:p>
    <w:p w14:paraId="17A4FFD5" w14:textId="77777777" w:rsidR="003247CD" w:rsidRPr="009F013E" w:rsidRDefault="003247CD" w:rsidP="00E45C5E">
      <w:pPr>
        <w:widowControl w:val="0"/>
        <w:autoSpaceDE w:val="0"/>
        <w:autoSpaceDN w:val="0"/>
        <w:adjustRightInd w:val="0"/>
        <w:spacing w:after="0" w:line="240" w:lineRule="auto"/>
        <w:jc w:val="center"/>
        <w:rPr>
          <w:rFonts w:ascii="Times New Roman" w:hAnsi="Times New Roman" w:cs="Times New Roman"/>
          <w:sz w:val="24"/>
          <w:szCs w:val="24"/>
        </w:rPr>
      </w:pPr>
    </w:p>
    <w:p w14:paraId="2FF75DBB" w14:textId="1D696F8E" w:rsidR="003247CD" w:rsidRDefault="00CB7EA7" w:rsidP="003247CD">
      <w:pPr>
        <w:widowControl w:val="0"/>
        <w:autoSpaceDE w:val="0"/>
        <w:autoSpaceDN w:val="0"/>
        <w:adjustRightInd w:val="0"/>
        <w:spacing w:after="0" w:line="240" w:lineRule="auto"/>
        <w:rPr>
          <w:sz w:val="28"/>
          <w:szCs w:val="28"/>
        </w:rPr>
      </w:pPr>
      <w:r w:rsidRPr="00CB7EA7">
        <w:rPr>
          <w:noProof/>
        </w:rPr>
        <w:drawing>
          <wp:inline distT="0" distB="0" distL="0" distR="0" wp14:anchorId="17BC03D7" wp14:editId="130BA43D">
            <wp:extent cx="5798185" cy="6737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185" cy="673749"/>
                    </a:xfrm>
                    <a:prstGeom prst="rect">
                      <a:avLst/>
                    </a:prstGeom>
                    <a:noFill/>
                    <a:ln>
                      <a:noFill/>
                    </a:ln>
                  </pic:spPr>
                </pic:pic>
              </a:graphicData>
            </a:graphic>
          </wp:inline>
        </w:drawing>
      </w:r>
    </w:p>
    <w:p w14:paraId="3FD3901F" w14:textId="77777777" w:rsidR="009F013E" w:rsidRDefault="009F013E" w:rsidP="003247CD">
      <w:pPr>
        <w:widowControl w:val="0"/>
        <w:autoSpaceDE w:val="0"/>
        <w:autoSpaceDN w:val="0"/>
        <w:adjustRightInd w:val="0"/>
        <w:spacing w:after="0" w:line="240" w:lineRule="auto"/>
        <w:rPr>
          <w:sz w:val="28"/>
          <w:szCs w:val="28"/>
        </w:rPr>
      </w:pPr>
    </w:p>
    <w:p w14:paraId="324CD027" w14:textId="77777777" w:rsidR="009F013E" w:rsidRPr="009F013E" w:rsidRDefault="009F013E" w:rsidP="009F013E">
      <w:pPr>
        <w:widowControl w:val="0"/>
        <w:autoSpaceDE w:val="0"/>
        <w:autoSpaceDN w:val="0"/>
        <w:adjustRightInd w:val="0"/>
        <w:spacing w:after="0" w:line="240" w:lineRule="auto"/>
        <w:rPr>
          <w:rFonts w:ascii="Times New Roman" w:hAnsi="Times New Roman" w:cs="Times New Roman"/>
          <w:color w:val="222222"/>
          <w:sz w:val="28"/>
          <w:szCs w:val="28"/>
          <w:shd w:val="clear" w:color="auto" w:fill="FFFFFF"/>
        </w:rPr>
      </w:pPr>
      <w:r w:rsidRPr="009F013E">
        <w:rPr>
          <w:rFonts w:ascii="Times New Roman" w:hAnsi="Times New Roman" w:cs="Times New Roman"/>
          <w:sz w:val="24"/>
          <w:szCs w:val="24"/>
        </w:rPr>
        <w:t>The 35% of expen</w:t>
      </w:r>
      <w:r w:rsidR="00374DE1">
        <w:rPr>
          <w:rFonts w:ascii="Times New Roman" w:hAnsi="Times New Roman" w:cs="Times New Roman"/>
          <w:sz w:val="24"/>
          <w:szCs w:val="24"/>
        </w:rPr>
        <w:t>ses for each of the CASA-Trinity site</w:t>
      </w:r>
      <w:r w:rsidRPr="009F013E">
        <w:rPr>
          <w:rFonts w:ascii="Times New Roman" w:hAnsi="Times New Roman" w:cs="Times New Roman"/>
          <w:sz w:val="24"/>
          <w:szCs w:val="24"/>
        </w:rPr>
        <w:t xml:space="preserve"> above will come fr</w:t>
      </w:r>
      <w:r w:rsidR="00374DE1">
        <w:rPr>
          <w:rFonts w:ascii="Times New Roman" w:hAnsi="Times New Roman" w:cs="Times New Roman"/>
          <w:sz w:val="24"/>
          <w:szCs w:val="24"/>
        </w:rPr>
        <w:t>om the operating budget for the</w:t>
      </w:r>
      <w:r w:rsidRPr="009F013E">
        <w:rPr>
          <w:rFonts w:ascii="Times New Roman" w:hAnsi="Times New Roman" w:cs="Times New Roman"/>
          <w:sz w:val="24"/>
          <w:szCs w:val="24"/>
        </w:rPr>
        <w:t xml:space="preserve"> site.</w:t>
      </w:r>
    </w:p>
    <w:p w14:paraId="47DA284E" w14:textId="77777777" w:rsidR="009F013E" w:rsidRDefault="009F013E" w:rsidP="003247CD">
      <w:pPr>
        <w:widowControl w:val="0"/>
        <w:autoSpaceDE w:val="0"/>
        <w:autoSpaceDN w:val="0"/>
        <w:adjustRightInd w:val="0"/>
        <w:spacing w:after="0" w:line="240" w:lineRule="auto"/>
        <w:rPr>
          <w:sz w:val="28"/>
          <w:szCs w:val="28"/>
        </w:rPr>
      </w:pPr>
    </w:p>
    <w:p w14:paraId="5D81D526" w14:textId="6860DB13" w:rsidR="001C603E" w:rsidRPr="009F013E" w:rsidRDefault="001C603E" w:rsidP="001C603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FHN</w:t>
      </w:r>
      <w:r w:rsidR="00897930">
        <w:rPr>
          <w:rFonts w:ascii="Times New Roman" w:hAnsi="Times New Roman" w:cs="Times New Roman"/>
          <w:sz w:val="28"/>
          <w:szCs w:val="28"/>
        </w:rPr>
        <w:t xml:space="preserve"> Sites – Table 1.2</w:t>
      </w:r>
    </w:p>
    <w:p w14:paraId="58DAEA8B" w14:textId="77777777" w:rsidR="001C603E" w:rsidRPr="009F013E" w:rsidRDefault="001C603E" w:rsidP="001C603E">
      <w:pPr>
        <w:widowControl w:val="0"/>
        <w:autoSpaceDE w:val="0"/>
        <w:autoSpaceDN w:val="0"/>
        <w:adjustRightInd w:val="0"/>
        <w:spacing w:after="0" w:line="240" w:lineRule="auto"/>
        <w:jc w:val="center"/>
        <w:rPr>
          <w:rFonts w:ascii="Times New Roman" w:hAnsi="Times New Roman" w:cs="Times New Roman"/>
          <w:sz w:val="24"/>
          <w:szCs w:val="24"/>
        </w:rPr>
      </w:pPr>
    </w:p>
    <w:p w14:paraId="6164CB3C" w14:textId="399D8FFE" w:rsidR="001C603E" w:rsidRDefault="00897930" w:rsidP="001C603E">
      <w:pPr>
        <w:widowControl w:val="0"/>
        <w:autoSpaceDE w:val="0"/>
        <w:autoSpaceDN w:val="0"/>
        <w:adjustRightInd w:val="0"/>
        <w:spacing w:after="0" w:line="240" w:lineRule="auto"/>
        <w:rPr>
          <w:sz w:val="28"/>
          <w:szCs w:val="28"/>
        </w:rPr>
      </w:pPr>
      <w:r w:rsidRPr="00897930">
        <w:rPr>
          <w:noProof/>
        </w:rPr>
        <w:drawing>
          <wp:inline distT="0" distB="0" distL="0" distR="0" wp14:anchorId="6DA4B25D" wp14:editId="1931CB40">
            <wp:extent cx="5798185" cy="137159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8185" cy="1371590"/>
                    </a:xfrm>
                    <a:prstGeom prst="rect">
                      <a:avLst/>
                    </a:prstGeom>
                    <a:noFill/>
                    <a:ln>
                      <a:noFill/>
                    </a:ln>
                  </pic:spPr>
                </pic:pic>
              </a:graphicData>
            </a:graphic>
          </wp:inline>
        </w:drawing>
      </w:r>
    </w:p>
    <w:p w14:paraId="72D5967C" w14:textId="77777777" w:rsidR="001C603E" w:rsidRDefault="001C603E" w:rsidP="001C603E">
      <w:pPr>
        <w:widowControl w:val="0"/>
        <w:autoSpaceDE w:val="0"/>
        <w:autoSpaceDN w:val="0"/>
        <w:adjustRightInd w:val="0"/>
        <w:spacing w:after="0" w:line="240" w:lineRule="auto"/>
        <w:rPr>
          <w:sz w:val="28"/>
          <w:szCs w:val="28"/>
        </w:rPr>
      </w:pPr>
    </w:p>
    <w:p w14:paraId="06FAFD26" w14:textId="77777777" w:rsidR="001C603E" w:rsidRPr="009F013E" w:rsidRDefault="001C603E" w:rsidP="001C603E">
      <w:pPr>
        <w:widowControl w:val="0"/>
        <w:autoSpaceDE w:val="0"/>
        <w:autoSpaceDN w:val="0"/>
        <w:adjustRightInd w:val="0"/>
        <w:spacing w:after="0" w:line="240" w:lineRule="auto"/>
        <w:rPr>
          <w:rFonts w:ascii="Times New Roman" w:hAnsi="Times New Roman" w:cs="Times New Roman"/>
          <w:color w:val="222222"/>
          <w:sz w:val="28"/>
          <w:szCs w:val="28"/>
          <w:shd w:val="clear" w:color="auto" w:fill="FFFFFF"/>
        </w:rPr>
      </w:pPr>
      <w:r w:rsidRPr="009F013E">
        <w:rPr>
          <w:rFonts w:ascii="Times New Roman" w:hAnsi="Times New Roman" w:cs="Times New Roman"/>
          <w:sz w:val="24"/>
          <w:szCs w:val="24"/>
        </w:rPr>
        <w:t>The 35% of expen</w:t>
      </w:r>
      <w:r>
        <w:rPr>
          <w:rFonts w:ascii="Times New Roman" w:hAnsi="Times New Roman" w:cs="Times New Roman"/>
          <w:sz w:val="24"/>
          <w:szCs w:val="24"/>
        </w:rPr>
        <w:t>ses for each of the FHN</w:t>
      </w:r>
      <w:r w:rsidRPr="009F013E">
        <w:rPr>
          <w:rFonts w:ascii="Times New Roman" w:hAnsi="Times New Roman" w:cs="Times New Roman"/>
          <w:sz w:val="24"/>
          <w:szCs w:val="24"/>
        </w:rPr>
        <w:t xml:space="preserve"> sites above will come from the operating budget for each site.</w:t>
      </w:r>
    </w:p>
    <w:p w14:paraId="65CE5612" w14:textId="1FB972BA" w:rsidR="001C603E" w:rsidRDefault="001C603E" w:rsidP="003247CD">
      <w:pPr>
        <w:widowControl w:val="0"/>
        <w:autoSpaceDE w:val="0"/>
        <w:autoSpaceDN w:val="0"/>
        <w:adjustRightInd w:val="0"/>
        <w:spacing w:after="0" w:line="240" w:lineRule="auto"/>
        <w:rPr>
          <w:sz w:val="28"/>
          <w:szCs w:val="28"/>
        </w:rPr>
      </w:pPr>
    </w:p>
    <w:p w14:paraId="1E89FFB5" w14:textId="768C1C5B" w:rsidR="000E2F98" w:rsidRPr="009F013E" w:rsidRDefault="000E2F98" w:rsidP="000E2F9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Mosaic Sites – Table 1.3</w:t>
      </w:r>
    </w:p>
    <w:p w14:paraId="2F237661" w14:textId="77777777" w:rsidR="000E2F98" w:rsidRPr="009F013E" w:rsidRDefault="000E2F98" w:rsidP="000E2F98">
      <w:pPr>
        <w:widowControl w:val="0"/>
        <w:autoSpaceDE w:val="0"/>
        <w:autoSpaceDN w:val="0"/>
        <w:adjustRightInd w:val="0"/>
        <w:spacing w:after="0" w:line="240" w:lineRule="auto"/>
        <w:jc w:val="center"/>
        <w:rPr>
          <w:rFonts w:ascii="Times New Roman" w:hAnsi="Times New Roman" w:cs="Times New Roman"/>
          <w:sz w:val="24"/>
          <w:szCs w:val="24"/>
        </w:rPr>
      </w:pPr>
    </w:p>
    <w:p w14:paraId="7E8146D8" w14:textId="5D66101F" w:rsidR="000E2F98" w:rsidRDefault="000E2F98" w:rsidP="000E2F98">
      <w:pPr>
        <w:widowControl w:val="0"/>
        <w:autoSpaceDE w:val="0"/>
        <w:autoSpaceDN w:val="0"/>
        <w:adjustRightInd w:val="0"/>
        <w:spacing w:after="0" w:line="240" w:lineRule="auto"/>
        <w:rPr>
          <w:sz w:val="28"/>
          <w:szCs w:val="28"/>
        </w:rPr>
      </w:pPr>
      <w:r w:rsidRPr="000E2F98">
        <w:rPr>
          <w:noProof/>
        </w:rPr>
        <w:drawing>
          <wp:inline distT="0" distB="0" distL="0" distR="0" wp14:anchorId="7CD2225C" wp14:editId="043A5A56">
            <wp:extent cx="5798185" cy="122915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8185" cy="1229156"/>
                    </a:xfrm>
                    <a:prstGeom prst="rect">
                      <a:avLst/>
                    </a:prstGeom>
                    <a:noFill/>
                    <a:ln>
                      <a:noFill/>
                    </a:ln>
                  </pic:spPr>
                </pic:pic>
              </a:graphicData>
            </a:graphic>
          </wp:inline>
        </w:drawing>
      </w:r>
    </w:p>
    <w:p w14:paraId="4087C3FB" w14:textId="77777777" w:rsidR="000E2F98" w:rsidRDefault="000E2F98" w:rsidP="000E2F98">
      <w:pPr>
        <w:widowControl w:val="0"/>
        <w:autoSpaceDE w:val="0"/>
        <w:autoSpaceDN w:val="0"/>
        <w:adjustRightInd w:val="0"/>
        <w:spacing w:after="0" w:line="240" w:lineRule="auto"/>
        <w:rPr>
          <w:sz w:val="28"/>
          <w:szCs w:val="28"/>
        </w:rPr>
      </w:pPr>
    </w:p>
    <w:p w14:paraId="3376433C" w14:textId="003B8B7C" w:rsidR="000E2F98" w:rsidRPr="009F013E" w:rsidRDefault="000E2F98" w:rsidP="000E2F98">
      <w:pPr>
        <w:widowControl w:val="0"/>
        <w:autoSpaceDE w:val="0"/>
        <w:autoSpaceDN w:val="0"/>
        <w:adjustRightInd w:val="0"/>
        <w:spacing w:after="0" w:line="240" w:lineRule="auto"/>
        <w:rPr>
          <w:rFonts w:ascii="Times New Roman" w:hAnsi="Times New Roman" w:cs="Times New Roman"/>
          <w:color w:val="222222"/>
          <w:sz w:val="28"/>
          <w:szCs w:val="28"/>
          <w:shd w:val="clear" w:color="auto" w:fill="FFFFFF"/>
        </w:rPr>
      </w:pPr>
      <w:r w:rsidRPr="009F013E">
        <w:rPr>
          <w:rFonts w:ascii="Times New Roman" w:hAnsi="Times New Roman" w:cs="Times New Roman"/>
          <w:sz w:val="24"/>
          <w:szCs w:val="24"/>
        </w:rPr>
        <w:t>The 35% of expen</w:t>
      </w:r>
      <w:r>
        <w:rPr>
          <w:rFonts w:ascii="Times New Roman" w:hAnsi="Times New Roman" w:cs="Times New Roman"/>
          <w:sz w:val="24"/>
          <w:szCs w:val="24"/>
        </w:rPr>
        <w:t>ses for each of the Mosaic</w:t>
      </w:r>
      <w:r w:rsidRPr="009F013E">
        <w:rPr>
          <w:rFonts w:ascii="Times New Roman" w:hAnsi="Times New Roman" w:cs="Times New Roman"/>
          <w:sz w:val="24"/>
          <w:szCs w:val="24"/>
        </w:rPr>
        <w:t xml:space="preserve"> sites above will come from the operating budget for each site.</w:t>
      </w:r>
    </w:p>
    <w:p w14:paraId="287318EC" w14:textId="752BA022" w:rsidR="000E2F98" w:rsidRDefault="000E2F98" w:rsidP="003247CD">
      <w:pPr>
        <w:widowControl w:val="0"/>
        <w:autoSpaceDE w:val="0"/>
        <w:autoSpaceDN w:val="0"/>
        <w:adjustRightInd w:val="0"/>
        <w:spacing w:after="0" w:line="240" w:lineRule="auto"/>
        <w:rPr>
          <w:sz w:val="28"/>
          <w:szCs w:val="28"/>
        </w:rPr>
      </w:pPr>
    </w:p>
    <w:p w14:paraId="79475683" w14:textId="18C8202F" w:rsidR="000E2F98" w:rsidRPr="009F013E" w:rsidRDefault="000E2F98" w:rsidP="000E2F9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FLCH Sites – Table 1.4</w:t>
      </w:r>
    </w:p>
    <w:p w14:paraId="40CEC62B" w14:textId="77777777" w:rsidR="000E2F98" w:rsidRPr="009F013E" w:rsidRDefault="000E2F98" w:rsidP="000E2F98">
      <w:pPr>
        <w:widowControl w:val="0"/>
        <w:autoSpaceDE w:val="0"/>
        <w:autoSpaceDN w:val="0"/>
        <w:adjustRightInd w:val="0"/>
        <w:spacing w:after="0" w:line="240" w:lineRule="auto"/>
        <w:jc w:val="center"/>
        <w:rPr>
          <w:rFonts w:ascii="Times New Roman" w:hAnsi="Times New Roman" w:cs="Times New Roman"/>
          <w:sz w:val="24"/>
          <w:szCs w:val="24"/>
        </w:rPr>
      </w:pPr>
    </w:p>
    <w:p w14:paraId="57952CB9" w14:textId="1DB65C7B" w:rsidR="000E2F98" w:rsidRDefault="00535DFE" w:rsidP="000E2F98">
      <w:pPr>
        <w:widowControl w:val="0"/>
        <w:autoSpaceDE w:val="0"/>
        <w:autoSpaceDN w:val="0"/>
        <w:adjustRightInd w:val="0"/>
        <w:spacing w:after="0" w:line="240" w:lineRule="auto"/>
        <w:rPr>
          <w:sz w:val="28"/>
          <w:szCs w:val="28"/>
        </w:rPr>
      </w:pPr>
      <w:r w:rsidRPr="00535DFE">
        <w:rPr>
          <w:noProof/>
        </w:rPr>
        <w:drawing>
          <wp:inline distT="0" distB="0" distL="0" distR="0" wp14:anchorId="7F9388EC" wp14:editId="7EEE33FB">
            <wp:extent cx="5798185" cy="1669262"/>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8185" cy="1669262"/>
                    </a:xfrm>
                    <a:prstGeom prst="rect">
                      <a:avLst/>
                    </a:prstGeom>
                    <a:noFill/>
                    <a:ln>
                      <a:noFill/>
                    </a:ln>
                  </pic:spPr>
                </pic:pic>
              </a:graphicData>
            </a:graphic>
          </wp:inline>
        </w:drawing>
      </w:r>
    </w:p>
    <w:p w14:paraId="10E18B87" w14:textId="77777777" w:rsidR="000E2F98" w:rsidRDefault="000E2F98" w:rsidP="000E2F98">
      <w:pPr>
        <w:widowControl w:val="0"/>
        <w:autoSpaceDE w:val="0"/>
        <w:autoSpaceDN w:val="0"/>
        <w:adjustRightInd w:val="0"/>
        <w:spacing w:after="0" w:line="240" w:lineRule="auto"/>
        <w:rPr>
          <w:sz w:val="28"/>
          <w:szCs w:val="28"/>
        </w:rPr>
      </w:pPr>
    </w:p>
    <w:p w14:paraId="37B2771C" w14:textId="3B3B8732" w:rsidR="000E2F98" w:rsidRPr="009F013E" w:rsidRDefault="000E2F98" w:rsidP="000E2F98">
      <w:pPr>
        <w:widowControl w:val="0"/>
        <w:autoSpaceDE w:val="0"/>
        <w:autoSpaceDN w:val="0"/>
        <w:adjustRightInd w:val="0"/>
        <w:spacing w:after="0" w:line="240" w:lineRule="auto"/>
        <w:rPr>
          <w:rFonts w:ascii="Times New Roman" w:hAnsi="Times New Roman" w:cs="Times New Roman"/>
          <w:color w:val="222222"/>
          <w:sz w:val="28"/>
          <w:szCs w:val="28"/>
          <w:shd w:val="clear" w:color="auto" w:fill="FFFFFF"/>
        </w:rPr>
      </w:pPr>
      <w:r w:rsidRPr="009F013E">
        <w:rPr>
          <w:rFonts w:ascii="Times New Roman" w:hAnsi="Times New Roman" w:cs="Times New Roman"/>
          <w:sz w:val="24"/>
          <w:szCs w:val="24"/>
        </w:rPr>
        <w:t>The 35% of expen</w:t>
      </w:r>
      <w:r>
        <w:rPr>
          <w:rFonts w:ascii="Times New Roman" w:hAnsi="Times New Roman" w:cs="Times New Roman"/>
          <w:sz w:val="24"/>
          <w:szCs w:val="24"/>
        </w:rPr>
        <w:t>ses for each of the FLCH</w:t>
      </w:r>
      <w:r w:rsidRPr="009F013E">
        <w:rPr>
          <w:rFonts w:ascii="Times New Roman" w:hAnsi="Times New Roman" w:cs="Times New Roman"/>
          <w:sz w:val="24"/>
          <w:szCs w:val="24"/>
        </w:rPr>
        <w:t xml:space="preserve"> sites above will come from the operating budget for each site.</w:t>
      </w:r>
    </w:p>
    <w:p w14:paraId="5490486F" w14:textId="77777777" w:rsidR="000E2F98" w:rsidRDefault="000E2F98" w:rsidP="000E2F98">
      <w:pPr>
        <w:widowControl w:val="0"/>
        <w:autoSpaceDE w:val="0"/>
        <w:autoSpaceDN w:val="0"/>
        <w:adjustRightInd w:val="0"/>
        <w:spacing w:after="0" w:line="240" w:lineRule="auto"/>
        <w:rPr>
          <w:sz w:val="28"/>
          <w:szCs w:val="28"/>
        </w:rPr>
      </w:pPr>
    </w:p>
    <w:p w14:paraId="25AB35A2" w14:textId="77777777" w:rsidR="000E2F98" w:rsidRPr="00D92E0E" w:rsidRDefault="000E2F98" w:rsidP="003247CD">
      <w:pPr>
        <w:widowControl w:val="0"/>
        <w:autoSpaceDE w:val="0"/>
        <w:autoSpaceDN w:val="0"/>
        <w:adjustRightInd w:val="0"/>
        <w:spacing w:after="0" w:line="240" w:lineRule="auto"/>
        <w:rPr>
          <w:sz w:val="28"/>
          <w:szCs w:val="28"/>
        </w:rPr>
      </w:pPr>
    </w:p>
    <w:sectPr w:rsidR="000E2F98" w:rsidRPr="00D92E0E" w:rsidSect="00E24004">
      <w:headerReference w:type="default" r:id="rId15"/>
      <w:footerReference w:type="default" r:id="rId16"/>
      <w:pgSz w:w="12240" w:h="16340"/>
      <w:pgMar w:top="1445" w:right="1838" w:bottom="1440" w:left="12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0D2A" w14:textId="77777777" w:rsidR="003C2FD9" w:rsidRDefault="003C2FD9" w:rsidP="00E24004">
      <w:pPr>
        <w:spacing w:after="0" w:line="240" w:lineRule="auto"/>
      </w:pPr>
      <w:r>
        <w:separator/>
      </w:r>
    </w:p>
  </w:endnote>
  <w:endnote w:type="continuationSeparator" w:id="0">
    <w:p w14:paraId="768717B8" w14:textId="77777777" w:rsidR="003C2FD9" w:rsidRDefault="003C2FD9" w:rsidP="00E2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58548"/>
      <w:docPartObj>
        <w:docPartGallery w:val="Page Numbers (Bottom of Page)"/>
        <w:docPartUnique/>
      </w:docPartObj>
    </w:sdtPr>
    <w:sdtEndPr>
      <w:rPr>
        <w:noProof/>
      </w:rPr>
    </w:sdtEndPr>
    <w:sdtContent>
      <w:p w14:paraId="04B2A2E7" w14:textId="58103EB8" w:rsidR="00E24004" w:rsidRDefault="00E24004">
        <w:pPr>
          <w:pStyle w:val="Footer"/>
          <w:jc w:val="center"/>
        </w:pPr>
        <w:r>
          <w:fldChar w:fldCharType="begin"/>
        </w:r>
        <w:r>
          <w:instrText xml:space="preserve"> PAGE   \* MERGEFORMAT </w:instrText>
        </w:r>
        <w:r>
          <w:fldChar w:fldCharType="separate"/>
        </w:r>
        <w:r w:rsidR="00714F9D">
          <w:rPr>
            <w:noProof/>
          </w:rPr>
          <w:t>2</w:t>
        </w:r>
        <w:r>
          <w:rPr>
            <w:noProof/>
          </w:rPr>
          <w:fldChar w:fldCharType="end"/>
        </w:r>
      </w:p>
    </w:sdtContent>
  </w:sdt>
  <w:p w14:paraId="5420332F" w14:textId="77777777" w:rsidR="00E24004" w:rsidRDefault="00E24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BB4A" w14:textId="77777777" w:rsidR="003C2FD9" w:rsidRDefault="003C2FD9" w:rsidP="00E24004">
      <w:pPr>
        <w:spacing w:after="0" w:line="240" w:lineRule="auto"/>
      </w:pPr>
      <w:r>
        <w:separator/>
      </w:r>
    </w:p>
  </w:footnote>
  <w:footnote w:type="continuationSeparator" w:id="0">
    <w:p w14:paraId="36EEC6E5" w14:textId="77777777" w:rsidR="003C2FD9" w:rsidRDefault="003C2FD9" w:rsidP="00E24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4937" w14:textId="77777777" w:rsidR="00E24004" w:rsidRDefault="00E24004" w:rsidP="00E24004">
    <w:pPr>
      <w:pStyle w:val="CM14"/>
      <w:pageBreakBefore/>
      <w:ind w:right="461"/>
      <w:rPr>
        <w:rFonts w:ascii="Times New Roman" w:hAnsi="Times New Roman" w:cs="Times New Roman"/>
        <w:color w:val="000000"/>
      </w:rPr>
    </w:pPr>
    <w:r>
      <w:rPr>
        <w:rFonts w:ascii="Times New Roman" w:hAnsi="Times New Roman" w:cs="Times New Roman"/>
        <w:b/>
        <w:bCs/>
        <w:color w:val="000000"/>
      </w:rPr>
      <w:t>Network: NY Community Broadband Partnership</w:t>
    </w:r>
    <w:r w:rsidRPr="002C3307">
      <w:rPr>
        <w:rFonts w:ascii="Times New Roman" w:hAnsi="Times New Roman" w:cs="Times New Roman"/>
        <w:b/>
        <w:bCs/>
        <w:color w:val="000000"/>
      </w:rPr>
      <w:t xml:space="preserve"> </w:t>
    </w:r>
  </w:p>
  <w:p w14:paraId="5E3681FE" w14:textId="77777777" w:rsidR="00E24004" w:rsidRPr="00E24004" w:rsidRDefault="00E24004" w:rsidP="00E24004">
    <w:pPr>
      <w:pStyle w:val="CM14"/>
      <w:pageBreakBefore/>
      <w:ind w:right="461"/>
      <w:rPr>
        <w:rFonts w:ascii="Times New Roman" w:hAnsi="Times New Roman" w:cs="Times New Roman"/>
        <w:color w:val="000000"/>
      </w:rPr>
    </w:pPr>
    <w:r w:rsidRPr="002C3307">
      <w:rPr>
        <w:rFonts w:ascii="Times New Roman" w:hAnsi="Times New Roman" w:cs="Times New Roman"/>
        <w:b/>
        <w:bCs/>
        <w:color w:val="000000"/>
      </w:rPr>
      <w:t xml:space="preserve">FCC Healthcare Connect </w:t>
    </w:r>
    <w:r>
      <w:rPr>
        <w:rFonts w:ascii="Times New Roman" w:hAnsi="Times New Roman" w:cs="Times New Roman"/>
        <w:b/>
        <w:bCs/>
        <w:color w:val="000000"/>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B71"/>
    <w:multiLevelType w:val="hybridMultilevel"/>
    <w:tmpl w:val="5BC275FC"/>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FED0031"/>
    <w:multiLevelType w:val="hybridMultilevel"/>
    <w:tmpl w:val="087E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76DEF"/>
    <w:multiLevelType w:val="hybridMultilevel"/>
    <w:tmpl w:val="5FB0593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C63C4A"/>
    <w:multiLevelType w:val="hybridMultilevel"/>
    <w:tmpl w:val="E41E00F6"/>
    <w:lvl w:ilvl="0" w:tplc="4D8417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F4F0E"/>
    <w:multiLevelType w:val="hybridMultilevel"/>
    <w:tmpl w:val="1296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6752B"/>
    <w:multiLevelType w:val="hybridMultilevel"/>
    <w:tmpl w:val="65E2FEA8"/>
    <w:lvl w:ilvl="0" w:tplc="114E1B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540"/>
        </w:tabs>
        <w:ind w:left="-54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900"/>
        </w:tabs>
        <w:ind w:left="900" w:hanging="360"/>
      </w:pPr>
    </w:lvl>
    <w:lvl w:ilvl="7" w:tplc="04090019" w:tentative="1">
      <w:start w:val="1"/>
      <w:numFmt w:val="lowerLetter"/>
      <w:lvlText w:val="%8."/>
      <w:lvlJc w:val="left"/>
      <w:pPr>
        <w:tabs>
          <w:tab w:val="num" w:pos="1620"/>
        </w:tabs>
        <w:ind w:left="1620" w:hanging="360"/>
      </w:pPr>
    </w:lvl>
    <w:lvl w:ilvl="8" w:tplc="0409001B" w:tentative="1">
      <w:start w:val="1"/>
      <w:numFmt w:val="lowerRoman"/>
      <w:lvlText w:val="%9."/>
      <w:lvlJc w:val="right"/>
      <w:pPr>
        <w:tabs>
          <w:tab w:val="num" w:pos="2340"/>
        </w:tabs>
        <w:ind w:left="2340" w:hanging="180"/>
      </w:pPr>
    </w:lvl>
  </w:abstractNum>
  <w:abstractNum w:abstractNumId="6" w15:restartNumberingAfterBreak="0">
    <w:nsid w:val="6C887540"/>
    <w:multiLevelType w:val="hybridMultilevel"/>
    <w:tmpl w:val="2758E236"/>
    <w:lvl w:ilvl="0" w:tplc="3342D09E">
      <w:start w:val="1"/>
      <w:numFmt w:val="upperLetter"/>
      <w:lvlText w:val="%1"/>
      <w:lvlJc w:val="left"/>
      <w:pPr>
        <w:tabs>
          <w:tab w:val="num" w:pos="360"/>
        </w:tabs>
        <w:ind w:left="360" w:hanging="360"/>
      </w:pPr>
      <w:rPr>
        <w:rFonts w:hint="default"/>
      </w:rPr>
    </w:lvl>
    <w:lvl w:ilvl="1" w:tplc="FD6C9AD4">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0939215">
    <w:abstractNumId w:val="3"/>
  </w:num>
  <w:num w:numId="2" w16cid:durableId="604266090">
    <w:abstractNumId w:val="0"/>
  </w:num>
  <w:num w:numId="3" w16cid:durableId="958529900">
    <w:abstractNumId w:val="2"/>
  </w:num>
  <w:num w:numId="4" w16cid:durableId="1980108365">
    <w:abstractNumId w:val="1"/>
  </w:num>
  <w:num w:numId="5" w16cid:durableId="1122576892">
    <w:abstractNumId w:val="4"/>
  </w:num>
  <w:num w:numId="6" w16cid:durableId="1315917633">
    <w:abstractNumId w:val="6"/>
  </w:num>
  <w:num w:numId="7" w16cid:durableId="1588805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D9"/>
    <w:rsid w:val="00020B18"/>
    <w:rsid w:val="00045F55"/>
    <w:rsid w:val="00071BED"/>
    <w:rsid w:val="0008743B"/>
    <w:rsid w:val="000C3510"/>
    <w:rsid w:val="000E2F98"/>
    <w:rsid w:val="00181883"/>
    <w:rsid w:val="001A3BF4"/>
    <w:rsid w:val="001A7C79"/>
    <w:rsid w:val="001C603E"/>
    <w:rsid w:val="001D7976"/>
    <w:rsid w:val="001F0505"/>
    <w:rsid w:val="00217F23"/>
    <w:rsid w:val="00236A18"/>
    <w:rsid w:val="0024259F"/>
    <w:rsid w:val="00260939"/>
    <w:rsid w:val="00262C2A"/>
    <w:rsid w:val="002952C4"/>
    <w:rsid w:val="002D3485"/>
    <w:rsid w:val="002E157D"/>
    <w:rsid w:val="003247CD"/>
    <w:rsid w:val="003562FC"/>
    <w:rsid w:val="0036370B"/>
    <w:rsid w:val="00374DE1"/>
    <w:rsid w:val="00375228"/>
    <w:rsid w:val="003C2FD9"/>
    <w:rsid w:val="003F08CD"/>
    <w:rsid w:val="00434479"/>
    <w:rsid w:val="00466BBE"/>
    <w:rsid w:val="00505207"/>
    <w:rsid w:val="00535DFE"/>
    <w:rsid w:val="005C2286"/>
    <w:rsid w:val="005D54A6"/>
    <w:rsid w:val="00635C4B"/>
    <w:rsid w:val="006848A9"/>
    <w:rsid w:val="006E05E2"/>
    <w:rsid w:val="006E4839"/>
    <w:rsid w:val="00714F9D"/>
    <w:rsid w:val="00767886"/>
    <w:rsid w:val="0079116C"/>
    <w:rsid w:val="008942EC"/>
    <w:rsid w:val="00897930"/>
    <w:rsid w:val="008B4E09"/>
    <w:rsid w:val="008D6A25"/>
    <w:rsid w:val="009152B5"/>
    <w:rsid w:val="00997DAB"/>
    <w:rsid w:val="009A1B77"/>
    <w:rsid w:val="009E3455"/>
    <w:rsid w:val="009F013E"/>
    <w:rsid w:val="00A5135B"/>
    <w:rsid w:val="00B22A09"/>
    <w:rsid w:val="00B2750F"/>
    <w:rsid w:val="00B36E75"/>
    <w:rsid w:val="00BD54BF"/>
    <w:rsid w:val="00C061CB"/>
    <w:rsid w:val="00C75B31"/>
    <w:rsid w:val="00CB7EA7"/>
    <w:rsid w:val="00D40EFB"/>
    <w:rsid w:val="00D62A2E"/>
    <w:rsid w:val="00D71E34"/>
    <w:rsid w:val="00D92E0E"/>
    <w:rsid w:val="00DB0172"/>
    <w:rsid w:val="00E24004"/>
    <w:rsid w:val="00E45C5E"/>
    <w:rsid w:val="00E50EA7"/>
    <w:rsid w:val="00EA384E"/>
    <w:rsid w:val="00EE0703"/>
    <w:rsid w:val="00F04C76"/>
    <w:rsid w:val="00F25EEB"/>
    <w:rsid w:val="00F346D9"/>
    <w:rsid w:val="00F87517"/>
    <w:rsid w:val="00FA21AE"/>
    <w:rsid w:val="00FA62D4"/>
    <w:rsid w:val="00FD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294F9"/>
  <w14:defaultImageDpi w14:val="0"/>
  <w15:docId w15:val="{0F2ED6BA-C40E-4A03-92A5-E43E84D2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4">
    <w:name w:val="CM14"/>
    <w:basedOn w:val="Default"/>
    <w:next w:val="Default"/>
    <w:uiPriority w:val="99"/>
    <w:rsid w:val="00F346D9"/>
    <w:rPr>
      <w:rFonts w:ascii="Arial" w:eastAsia="Times New Roman" w:hAnsi="Arial" w:cs="Arial"/>
      <w:color w:val="auto"/>
    </w:rPr>
  </w:style>
  <w:style w:type="paragraph" w:styleId="Header">
    <w:name w:val="header"/>
    <w:basedOn w:val="Normal"/>
    <w:link w:val="HeaderChar"/>
    <w:uiPriority w:val="99"/>
    <w:unhideWhenUsed/>
    <w:rsid w:val="00E2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04"/>
  </w:style>
  <w:style w:type="paragraph" w:styleId="Footer">
    <w:name w:val="footer"/>
    <w:basedOn w:val="Normal"/>
    <w:link w:val="FooterChar"/>
    <w:uiPriority w:val="99"/>
    <w:unhideWhenUsed/>
    <w:rsid w:val="00E2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04"/>
  </w:style>
  <w:style w:type="paragraph" w:styleId="BalloonText">
    <w:name w:val="Balloon Text"/>
    <w:basedOn w:val="Normal"/>
    <w:link w:val="BalloonTextChar"/>
    <w:uiPriority w:val="99"/>
    <w:semiHidden/>
    <w:unhideWhenUsed/>
    <w:rsid w:val="001A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7245">
      <w:bodyDiv w:val="1"/>
      <w:marLeft w:val="0"/>
      <w:marRight w:val="0"/>
      <w:marTop w:val="0"/>
      <w:marBottom w:val="0"/>
      <w:divBdr>
        <w:top w:val="none" w:sz="0" w:space="0" w:color="auto"/>
        <w:left w:val="none" w:sz="0" w:space="0" w:color="auto"/>
        <w:bottom w:val="none" w:sz="0" w:space="0" w:color="auto"/>
        <w:right w:val="none" w:sz="0" w:space="0" w:color="auto"/>
      </w:divBdr>
    </w:div>
    <w:div w:id="1159885071">
      <w:bodyDiv w:val="1"/>
      <w:marLeft w:val="0"/>
      <w:marRight w:val="0"/>
      <w:marTop w:val="0"/>
      <w:marBottom w:val="0"/>
      <w:divBdr>
        <w:top w:val="none" w:sz="0" w:space="0" w:color="auto"/>
        <w:left w:val="none" w:sz="0" w:space="0" w:color="auto"/>
        <w:bottom w:val="none" w:sz="0" w:space="0" w:color="auto"/>
        <w:right w:val="none" w:sz="0" w:space="0" w:color="auto"/>
      </w:divBdr>
    </w:div>
    <w:div w:id="1325741947">
      <w:bodyDiv w:val="1"/>
      <w:marLeft w:val="0"/>
      <w:marRight w:val="0"/>
      <w:marTop w:val="0"/>
      <w:marBottom w:val="0"/>
      <w:divBdr>
        <w:top w:val="none" w:sz="0" w:space="0" w:color="auto"/>
        <w:left w:val="none" w:sz="0" w:space="0" w:color="auto"/>
        <w:bottom w:val="none" w:sz="0" w:space="0" w:color="auto"/>
        <w:right w:val="none" w:sz="0" w:space="0" w:color="auto"/>
      </w:divBdr>
    </w:div>
    <w:div w:id="1539007140">
      <w:bodyDiv w:val="1"/>
      <w:marLeft w:val="0"/>
      <w:marRight w:val="0"/>
      <w:marTop w:val="0"/>
      <w:marBottom w:val="0"/>
      <w:divBdr>
        <w:top w:val="none" w:sz="0" w:space="0" w:color="auto"/>
        <w:left w:val="none" w:sz="0" w:space="0" w:color="auto"/>
        <w:bottom w:val="none" w:sz="0" w:space="0" w:color="auto"/>
        <w:right w:val="none" w:sz="0" w:space="0" w:color="auto"/>
      </w:divBdr>
    </w:div>
    <w:div w:id="18535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a02c10c-3e07-4e95-b028-cdc4b2da3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ED4E049207DA478AE3FE92E212E719" ma:contentTypeVersion="18" ma:contentTypeDescription="Create a new document." ma:contentTypeScope="" ma:versionID="002f9d3f135f982b4a8ad5f5af60c06c">
  <xsd:schema xmlns:xsd="http://www.w3.org/2001/XMLSchema" xmlns:xs="http://www.w3.org/2001/XMLSchema" xmlns:p="http://schemas.microsoft.com/office/2006/metadata/properties" xmlns:ns3="ca02c10c-3e07-4e95-b028-cdc4b2da317e" xmlns:ns4="7bb490a7-ca5a-4432-9de8-90f39c8c15b5" targetNamespace="http://schemas.microsoft.com/office/2006/metadata/properties" ma:root="true" ma:fieldsID="19a24ae55de7fb75fd10be8b5db0b3f5" ns3:_="" ns4:_="">
    <xsd:import namespace="ca02c10c-3e07-4e95-b028-cdc4b2da317e"/>
    <xsd:import namespace="7bb490a7-ca5a-4432-9de8-90f39c8c15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2c10c-3e07-4e95-b028-cdc4b2da3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490a7-ca5a-4432-9de8-90f39c8c15b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AEDC2-5BDB-433E-89B5-F88A71713517}">
  <ds:schemaRefs>
    <ds:schemaRef ds:uri="http://schemas.openxmlformats.org/officeDocument/2006/bibliography"/>
  </ds:schemaRefs>
</ds:datastoreItem>
</file>

<file path=customXml/itemProps2.xml><?xml version="1.0" encoding="utf-8"?>
<ds:datastoreItem xmlns:ds="http://schemas.openxmlformats.org/officeDocument/2006/customXml" ds:itemID="{D385AB5F-C926-4384-B9BD-42DDB7D9FA6E}">
  <ds:schemaRefs>
    <ds:schemaRef ds:uri="http://schemas.microsoft.com/office/2006/metadata/properties"/>
    <ds:schemaRef ds:uri="http://schemas.microsoft.com/office/infopath/2007/PartnerControls"/>
    <ds:schemaRef ds:uri="ca02c10c-3e07-4e95-b028-cdc4b2da317e"/>
  </ds:schemaRefs>
</ds:datastoreItem>
</file>

<file path=customXml/itemProps3.xml><?xml version="1.0" encoding="utf-8"?>
<ds:datastoreItem xmlns:ds="http://schemas.openxmlformats.org/officeDocument/2006/customXml" ds:itemID="{6F3F215A-4901-4819-9ED2-1F9BB81BEE16}">
  <ds:schemaRefs>
    <ds:schemaRef ds:uri="http://schemas.microsoft.com/sharepoint/v3/contenttype/forms"/>
  </ds:schemaRefs>
</ds:datastoreItem>
</file>

<file path=customXml/itemProps4.xml><?xml version="1.0" encoding="utf-8"?>
<ds:datastoreItem xmlns:ds="http://schemas.openxmlformats.org/officeDocument/2006/customXml" ds:itemID="{5626FF29-ABEA-49B1-85E2-A2FFBE9E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2c10c-3e07-4e95-b028-cdc4b2da317e"/>
    <ds:schemaRef ds:uri="7bb490a7-ca5a-4432-9de8-90f39c8c1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Mark</dc:creator>
  <cp:lastModifiedBy>Cathy Hines</cp:lastModifiedBy>
  <cp:revision>2</cp:revision>
  <dcterms:created xsi:type="dcterms:W3CDTF">2026-03-16T17:00:00Z</dcterms:created>
  <dcterms:modified xsi:type="dcterms:W3CDTF">2026-03-16T17:00:00Z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0x0101002FED4E049207DA478AE3FE92E212E719</vt:lpwstr>
  </property>
</Properties>
</file>